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688C" w14:textId="0968DD21" w:rsidR="00FC02EB" w:rsidRPr="00ED72FB" w:rsidRDefault="00FC02EB" w:rsidP="00204224">
      <w:pPr>
        <w:spacing w:after="0" w:line="240" w:lineRule="auto"/>
        <w:jc w:val="center"/>
        <w:rPr>
          <w:rFonts w:ascii="Times New Roman" w:eastAsia="Times New Roman" w:hAnsi="Times New Roman" w:cs="Times New Roman"/>
          <w:b/>
          <w:sz w:val="28"/>
          <w:szCs w:val="28"/>
        </w:rPr>
      </w:pPr>
      <w:r w:rsidRPr="00ED72FB">
        <w:rPr>
          <w:rFonts w:ascii="Times New Roman" w:eastAsia="Times New Roman" w:hAnsi="Times New Roman" w:cs="Times New Roman"/>
          <w:b/>
          <w:sz w:val="28"/>
          <w:szCs w:val="28"/>
        </w:rPr>
        <w:t>REPÚBLICA DE COLOMBIA</w:t>
      </w:r>
    </w:p>
    <w:p w14:paraId="3F2142C9" w14:textId="3CCE9C6A" w:rsidR="00FC02EB" w:rsidRPr="00ED72FB" w:rsidRDefault="00204224" w:rsidP="0020422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628FC1BC" wp14:editId="5DFC4257">
            <wp:extent cx="792480" cy="786765"/>
            <wp:effectExtent l="0" t="0" r="7620" b="0"/>
            <wp:docPr id="19788482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86765"/>
                    </a:xfrm>
                    <a:prstGeom prst="rect">
                      <a:avLst/>
                    </a:prstGeom>
                    <a:noFill/>
                  </pic:spPr>
                </pic:pic>
              </a:graphicData>
            </a:graphic>
          </wp:inline>
        </w:drawing>
      </w:r>
      <w:r w:rsidR="00FC02EB" w:rsidRPr="00ED72FB">
        <w:rPr>
          <w:rFonts w:ascii="Times New Roman" w:eastAsia="Times New Roman" w:hAnsi="Times New Roman" w:cs="Times New Roman"/>
          <w:b/>
          <w:sz w:val="28"/>
          <w:szCs w:val="28"/>
        </w:rPr>
        <w:br/>
        <w:t>CORTE CONSTITUCIONAL</w:t>
      </w:r>
    </w:p>
    <w:p w14:paraId="7A0BE1D9" w14:textId="77777777" w:rsidR="00FC02EB" w:rsidRPr="00ED72FB" w:rsidRDefault="00FC02EB" w:rsidP="00204224">
      <w:pPr>
        <w:tabs>
          <w:tab w:val="left" w:pos="8789"/>
        </w:tabs>
        <w:spacing w:after="0" w:line="240" w:lineRule="auto"/>
        <w:ind w:right="51"/>
        <w:jc w:val="center"/>
        <w:rPr>
          <w:rFonts w:ascii="Times New Roman" w:eastAsia="Times New Roman" w:hAnsi="Times New Roman" w:cs="Times New Roman"/>
          <w:b/>
          <w:sz w:val="28"/>
          <w:szCs w:val="28"/>
        </w:rPr>
      </w:pPr>
      <w:r w:rsidRPr="00ED72FB">
        <w:rPr>
          <w:rFonts w:ascii="Times New Roman" w:eastAsia="Times New Roman" w:hAnsi="Times New Roman" w:cs="Times New Roman"/>
          <w:b/>
          <w:sz w:val="28"/>
          <w:szCs w:val="28"/>
        </w:rPr>
        <w:t>Sala Plena</w:t>
      </w:r>
    </w:p>
    <w:p w14:paraId="34E430F4" w14:textId="77777777" w:rsidR="00FC02EB" w:rsidRPr="00ED72FB" w:rsidRDefault="00FC02EB" w:rsidP="00FC02EB">
      <w:pPr>
        <w:tabs>
          <w:tab w:val="left" w:pos="8789"/>
        </w:tabs>
        <w:spacing w:after="0" w:line="240" w:lineRule="auto"/>
        <w:ind w:left="3686" w:right="51"/>
        <w:jc w:val="both"/>
        <w:rPr>
          <w:rFonts w:ascii="Times New Roman" w:eastAsia="Times New Roman" w:hAnsi="Times New Roman" w:cs="Times New Roman"/>
          <w:b/>
          <w:sz w:val="28"/>
          <w:szCs w:val="28"/>
        </w:rPr>
      </w:pPr>
    </w:p>
    <w:p w14:paraId="3136C281" w14:textId="487053AE" w:rsidR="00FC02EB" w:rsidRPr="00ED72FB" w:rsidRDefault="00FC02EB" w:rsidP="00FC02E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es-ES_tradnl" w:eastAsia="es-ES"/>
        </w:rPr>
      </w:pPr>
      <w:r w:rsidRPr="00ED72FB">
        <w:rPr>
          <w:rFonts w:ascii="Times New Roman" w:eastAsia="Times New Roman" w:hAnsi="Times New Roman" w:cs="Times New Roman"/>
          <w:b/>
          <w:sz w:val="28"/>
          <w:szCs w:val="28"/>
          <w:lang w:val="es-ES_tradnl" w:eastAsia="es-ES"/>
        </w:rPr>
        <w:t xml:space="preserve">AUTO </w:t>
      </w:r>
      <w:r w:rsidR="00D02EE3">
        <w:rPr>
          <w:rFonts w:ascii="Times New Roman" w:eastAsia="Times New Roman" w:hAnsi="Times New Roman" w:cs="Times New Roman"/>
          <w:b/>
          <w:sz w:val="28"/>
          <w:szCs w:val="28"/>
          <w:lang w:val="es-ES_tradnl" w:eastAsia="es-ES"/>
        </w:rPr>
        <w:t>399</w:t>
      </w:r>
      <w:r w:rsidRPr="00ED72FB">
        <w:rPr>
          <w:rFonts w:ascii="Times New Roman" w:eastAsia="Times New Roman" w:hAnsi="Times New Roman" w:cs="Times New Roman"/>
          <w:b/>
          <w:sz w:val="28"/>
          <w:szCs w:val="28"/>
          <w:lang w:val="es-ES_tradnl" w:eastAsia="es-ES"/>
        </w:rPr>
        <w:t xml:space="preserve"> DE 2025</w:t>
      </w:r>
    </w:p>
    <w:p w14:paraId="1CD09BBE" w14:textId="77777777" w:rsidR="00FC02EB" w:rsidRPr="00ED72FB" w:rsidRDefault="00FC02EB" w:rsidP="00FC02E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val="es-ES_tradnl" w:eastAsia="es-ES"/>
        </w:rPr>
      </w:pPr>
    </w:p>
    <w:p w14:paraId="09F38971" w14:textId="0489126B" w:rsidR="00FC02EB" w:rsidRPr="00ED72FB" w:rsidRDefault="00FC02EB" w:rsidP="00FC02EB">
      <w:pPr>
        <w:tabs>
          <w:tab w:val="left" w:pos="748"/>
        </w:tabs>
        <w:overflowPunct w:val="0"/>
        <w:autoSpaceDE w:val="0"/>
        <w:autoSpaceDN w:val="0"/>
        <w:adjustRightInd w:val="0"/>
        <w:spacing w:after="0" w:line="240" w:lineRule="auto"/>
        <w:ind w:left="4395"/>
        <w:jc w:val="both"/>
        <w:textAlignment w:val="baseline"/>
        <w:rPr>
          <w:rFonts w:ascii="Times New Roman" w:eastAsia="Times New Roman" w:hAnsi="Times New Roman" w:cs="Times New Roman"/>
          <w:sz w:val="28"/>
          <w:szCs w:val="28"/>
          <w:lang w:val="es-ES_tradnl" w:eastAsia="es-MX"/>
        </w:rPr>
      </w:pPr>
      <w:r w:rsidRPr="00ED72FB">
        <w:rPr>
          <w:rFonts w:ascii="Times New Roman" w:eastAsia="Times New Roman" w:hAnsi="Times New Roman" w:cs="Times New Roman"/>
          <w:b/>
          <w:bCs/>
          <w:sz w:val="28"/>
          <w:szCs w:val="28"/>
          <w:lang w:val="es-ES_tradnl" w:eastAsia="es-MX"/>
        </w:rPr>
        <w:t>Referencia</w:t>
      </w:r>
      <w:r w:rsidRPr="00ED72FB">
        <w:rPr>
          <w:rFonts w:ascii="Times New Roman" w:eastAsia="Times New Roman" w:hAnsi="Times New Roman" w:cs="Times New Roman"/>
          <w:sz w:val="28"/>
          <w:szCs w:val="28"/>
          <w:lang w:val="es-ES_tradnl" w:eastAsia="es-MX"/>
        </w:rPr>
        <w:t xml:space="preserve">: expediente LAT-500. </w:t>
      </w:r>
    </w:p>
    <w:p w14:paraId="5EEC571E" w14:textId="77777777" w:rsidR="00FC02EB" w:rsidRPr="00ED72FB" w:rsidRDefault="00FC02EB" w:rsidP="00FC02EB">
      <w:pPr>
        <w:tabs>
          <w:tab w:val="left" w:pos="748"/>
          <w:tab w:val="left" w:pos="3960"/>
        </w:tabs>
        <w:overflowPunct w:val="0"/>
        <w:autoSpaceDE w:val="0"/>
        <w:autoSpaceDN w:val="0"/>
        <w:adjustRightInd w:val="0"/>
        <w:spacing w:after="0" w:line="240" w:lineRule="auto"/>
        <w:ind w:left="4395"/>
        <w:jc w:val="both"/>
        <w:textAlignment w:val="baseline"/>
        <w:rPr>
          <w:rFonts w:ascii="Times New Roman" w:eastAsia="Times New Roman" w:hAnsi="Times New Roman" w:cs="Times New Roman"/>
          <w:sz w:val="28"/>
          <w:szCs w:val="28"/>
          <w:lang w:val="es-ES_tradnl" w:eastAsia="es-MX"/>
        </w:rPr>
      </w:pPr>
    </w:p>
    <w:p w14:paraId="2BD6F40A" w14:textId="77777777" w:rsidR="00FC02EB" w:rsidRPr="00ED72FB" w:rsidRDefault="00FC02EB" w:rsidP="00FC02EB">
      <w:pPr>
        <w:kinsoku w:val="0"/>
        <w:overflowPunct w:val="0"/>
        <w:autoSpaceDE w:val="0"/>
        <w:autoSpaceDN w:val="0"/>
        <w:adjustRightInd w:val="0"/>
        <w:spacing w:after="0" w:line="240" w:lineRule="auto"/>
        <w:ind w:left="4395"/>
        <w:jc w:val="both"/>
        <w:rPr>
          <w:rFonts w:ascii="Times New Roman" w:hAnsi="Times New Roman" w:cs="Times New Roman"/>
          <w:sz w:val="28"/>
          <w:szCs w:val="28"/>
          <w:lang w:val="es-CO" w:eastAsia="en-US"/>
        </w:rPr>
      </w:pPr>
      <w:bookmarkStart w:id="0" w:name="_Hlk110851705"/>
      <w:r w:rsidRPr="00ED72FB">
        <w:rPr>
          <w:rFonts w:ascii="Times New Roman" w:hAnsi="Times New Roman" w:cs="Times New Roman"/>
          <w:b/>
          <w:bCs/>
          <w:sz w:val="28"/>
          <w:szCs w:val="28"/>
          <w:lang w:val="es-ES_tradnl" w:eastAsia="en-US"/>
        </w:rPr>
        <w:t>Asunto:</w:t>
      </w:r>
      <w:r w:rsidRPr="00ED72FB">
        <w:rPr>
          <w:rFonts w:ascii="Times New Roman" w:hAnsi="Times New Roman" w:cs="Times New Roman"/>
          <w:sz w:val="28"/>
          <w:szCs w:val="28"/>
          <w:lang w:val="es-ES_tradnl" w:eastAsia="en-US"/>
        </w:rPr>
        <w:t xml:space="preserve"> </w:t>
      </w:r>
      <w:r w:rsidRPr="00ED72FB">
        <w:rPr>
          <w:rFonts w:ascii="Times New Roman" w:eastAsia="Times New Roman" w:hAnsi="Times New Roman" w:cs="Times New Roman"/>
          <w:sz w:val="28"/>
          <w:szCs w:val="28"/>
          <w:lang w:val="es-ES_tradnl" w:eastAsia="es-MX"/>
        </w:rPr>
        <w:t>impedimento presentado por el procurador general de la nación para rendir concepto.</w:t>
      </w:r>
    </w:p>
    <w:bookmarkEnd w:id="0"/>
    <w:p w14:paraId="705CEAD0" w14:textId="77777777" w:rsidR="00FC02EB" w:rsidRPr="00ED72FB" w:rsidRDefault="00FC02EB" w:rsidP="00FC02EB">
      <w:pPr>
        <w:spacing w:after="0" w:line="240" w:lineRule="auto"/>
        <w:rPr>
          <w:rFonts w:ascii="Times New Roman" w:hAnsi="Times New Roman" w:cs="Times New Roman"/>
          <w:sz w:val="28"/>
          <w:szCs w:val="28"/>
          <w:lang w:val="es-ES_tradnl" w:eastAsia="es-MX"/>
        </w:rPr>
      </w:pPr>
    </w:p>
    <w:p w14:paraId="37A91CD5" w14:textId="77777777" w:rsidR="00FC02EB" w:rsidRPr="00ED72FB" w:rsidRDefault="00FC02EB" w:rsidP="00FC02EB">
      <w:pPr>
        <w:tabs>
          <w:tab w:val="left" w:pos="748"/>
          <w:tab w:val="left" w:pos="2520"/>
        </w:tabs>
        <w:overflowPunct w:val="0"/>
        <w:autoSpaceDE w:val="0"/>
        <w:autoSpaceDN w:val="0"/>
        <w:adjustRightInd w:val="0"/>
        <w:spacing w:after="0" w:line="240" w:lineRule="auto"/>
        <w:ind w:left="4395"/>
        <w:jc w:val="both"/>
        <w:textAlignment w:val="baseline"/>
        <w:rPr>
          <w:rFonts w:ascii="Times New Roman" w:eastAsia="Times New Roman" w:hAnsi="Times New Roman" w:cs="Times New Roman"/>
          <w:b/>
          <w:bCs/>
          <w:sz w:val="28"/>
          <w:szCs w:val="28"/>
          <w:lang w:val="es-ES_tradnl" w:eastAsia="es-MX"/>
        </w:rPr>
      </w:pPr>
      <w:r w:rsidRPr="00ED72FB">
        <w:rPr>
          <w:rFonts w:ascii="Times New Roman" w:eastAsia="Times New Roman" w:hAnsi="Times New Roman" w:cs="Times New Roman"/>
          <w:b/>
          <w:bCs/>
          <w:sz w:val="28"/>
          <w:szCs w:val="28"/>
          <w:lang w:val="es-ES_tradnl" w:eastAsia="es-MX"/>
        </w:rPr>
        <w:t>Magistrada ponente:</w:t>
      </w:r>
    </w:p>
    <w:p w14:paraId="6DC3E72D" w14:textId="057F2BD5" w:rsidR="00FC02EB" w:rsidRPr="00ED72FB" w:rsidRDefault="00FC02EB" w:rsidP="00FC02EB">
      <w:pPr>
        <w:overflowPunct w:val="0"/>
        <w:autoSpaceDE w:val="0"/>
        <w:autoSpaceDN w:val="0"/>
        <w:adjustRightInd w:val="0"/>
        <w:spacing w:after="0" w:line="240" w:lineRule="auto"/>
        <w:ind w:left="4395"/>
        <w:textAlignment w:val="baseline"/>
        <w:rPr>
          <w:rFonts w:ascii="Times New Roman" w:eastAsia="Times New Roman" w:hAnsi="Times New Roman" w:cs="Times New Roman"/>
          <w:sz w:val="28"/>
          <w:szCs w:val="28"/>
          <w:lang w:val="es-ES_tradnl" w:eastAsia="es-MX"/>
        </w:rPr>
      </w:pPr>
      <w:r w:rsidRPr="00ED72FB">
        <w:rPr>
          <w:rFonts w:ascii="Times New Roman" w:eastAsia="Times New Roman" w:hAnsi="Times New Roman" w:cs="Times New Roman"/>
          <w:sz w:val="28"/>
          <w:szCs w:val="28"/>
          <w:lang w:val="es-ES_tradnl" w:eastAsia="es-MX"/>
        </w:rPr>
        <w:t>DIANA FAJARDO RIVERA</w:t>
      </w:r>
    </w:p>
    <w:p w14:paraId="0F889459" w14:textId="77777777" w:rsidR="00FC02EB" w:rsidRPr="00ED72FB" w:rsidRDefault="00FC02EB" w:rsidP="00FC02E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es-ES_tradnl" w:eastAsia="es-MX"/>
        </w:rPr>
      </w:pPr>
    </w:p>
    <w:p w14:paraId="05AFDC7F" w14:textId="678D0C83" w:rsidR="00FC02EB" w:rsidRPr="00ED72FB" w:rsidRDefault="00FC02EB" w:rsidP="00FC02E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s-ES_tradnl" w:eastAsia="es-MX"/>
        </w:rPr>
      </w:pPr>
      <w:r w:rsidRPr="00ED72FB">
        <w:rPr>
          <w:rFonts w:ascii="Times New Roman" w:eastAsia="Times New Roman" w:hAnsi="Times New Roman" w:cs="Times New Roman"/>
          <w:sz w:val="28"/>
          <w:szCs w:val="28"/>
          <w:lang w:val="es-ES_tradnl" w:eastAsia="es-MX"/>
        </w:rPr>
        <w:t xml:space="preserve">Bogotá, D.C., </w:t>
      </w:r>
      <w:r w:rsidR="0005545E">
        <w:rPr>
          <w:rFonts w:ascii="Times New Roman" w:eastAsia="Times New Roman" w:hAnsi="Times New Roman" w:cs="Times New Roman"/>
          <w:sz w:val="28"/>
          <w:szCs w:val="28"/>
          <w:lang w:val="es-ES_tradnl" w:eastAsia="es-MX"/>
        </w:rPr>
        <w:t xml:space="preserve">veintiséis </w:t>
      </w:r>
      <w:r w:rsidRPr="00ED72FB">
        <w:rPr>
          <w:rFonts w:ascii="Times New Roman" w:eastAsia="Times New Roman" w:hAnsi="Times New Roman" w:cs="Times New Roman"/>
          <w:sz w:val="28"/>
          <w:szCs w:val="28"/>
          <w:lang w:val="es-ES_tradnl" w:eastAsia="es-MX"/>
        </w:rPr>
        <w:t>(</w:t>
      </w:r>
      <w:r w:rsidR="0005545E">
        <w:rPr>
          <w:rFonts w:ascii="Times New Roman" w:eastAsia="Times New Roman" w:hAnsi="Times New Roman" w:cs="Times New Roman"/>
          <w:sz w:val="28"/>
          <w:szCs w:val="28"/>
          <w:lang w:val="es-ES_tradnl" w:eastAsia="es-MX"/>
        </w:rPr>
        <w:t>26</w:t>
      </w:r>
      <w:r w:rsidRPr="00ED72FB">
        <w:rPr>
          <w:rFonts w:ascii="Times New Roman" w:eastAsia="Times New Roman" w:hAnsi="Times New Roman" w:cs="Times New Roman"/>
          <w:sz w:val="28"/>
          <w:szCs w:val="28"/>
          <w:lang w:val="es-ES_tradnl" w:eastAsia="es-MX"/>
        </w:rPr>
        <w:t>) de marzo de dos mil veinticinco (2025).</w:t>
      </w:r>
    </w:p>
    <w:p w14:paraId="46AAB686" w14:textId="77777777" w:rsidR="00FC02EB" w:rsidRPr="00ED72FB" w:rsidRDefault="00FC02EB" w:rsidP="00FC02E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s-ES_tradnl" w:eastAsia="es-MX"/>
        </w:rPr>
      </w:pPr>
    </w:p>
    <w:p w14:paraId="1E2909F9" w14:textId="77777777" w:rsidR="00FC02EB" w:rsidRPr="00ED72FB" w:rsidRDefault="00FC02EB" w:rsidP="00FC02EB">
      <w:pPr>
        <w:tabs>
          <w:tab w:val="num" w:pos="-3261"/>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ED72FB">
        <w:rPr>
          <w:rFonts w:ascii="Times New Roman" w:eastAsia="Times New Roman" w:hAnsi="Times New Roman" w:cs="Times New Roman"/>
          <w:sz w:val="28"/>
          <w:szCs w:val="28"/>
        </w:rPr>
        <w:t>La Sala Plena de la Corte Constitucional, en uso de las facultades constitucionales y legales, procede a resolver el impedimento presentado por el procurador general de la nación, quien solicita ser relevado del deber de rendir concepto en el presente proceso de constitucionalidad.</w:t>
      </w:r>
    </w:p>
    <w:p w14:paraId="27706063" w14:textId="77777777" w:rsidR="00FC02EB" w:rsidRPr="00ED72FB" w:rsidRDefault="00FC02EB" w:rsidP="00FC02EB">
      <w:pPr>
        <w:tabs>
          <w:tab w:val="num" w:pos="-3261"/>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es-MX"/>
        </w:rPr>
      </w:pPr>
    </w:p>
    <w:p w14:paraId="1D2E8205" w14:textId="77777777" w:rsidR="00FC02EB" w:rsidRPr="00ED72FB" w:rsidRDefault="00FC02EB" w:rsidP="00FC02EB">
      <w:pPr>
        <w:numPr>
          <w:ilvl w:val="0"/>
          <w:numId w:val="1"/>
        </w:numPr>
        <w:tabs>
          <w:tab w:val="num" w:pos="-3261"/>
          <w:tab w:val="left" w:pos="284"/>
          <w:tab w:val="left" w:pos="426"/>
          <w:tab w:val="left" w:pos="709"/>
        </w:tabs>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b/>
          <w:bCs/>
          <w:sz w:val="28"/>
          <w:szCs w:val="28"/>
          <w:lang w:val="es-ES_tradnl" w:eastAsia="es-MX"/>
        </w:rPr>
      </w:pPr>
      <w:r w:rsidRPr="00ED72FB">
        <w:rPr>
          <w:rFonts w:ascii="Times New Roman" w:eastAsia="Times New Roman" w:hAnsi="Times New Roman" w:cs="Times New Roman"/>
          <w:b/>
          <w:bCs/>
          <w:sz w:val="28"/>
          <w:szCs w:val="28"/>
          <w:lang w:val="es-ES_tradnl" w:eastAsia="es-MX"/>
        </w:rPr>
        <w:t xml:space="preserve"> ANTECEDENTES </w:t>
      </w:r>
    </w:p>
    <w:p w14:paraId="1C3EBB4E" w14:textId="77777777" w:rsidR="00FC02EB" w:rsidRPr="00ED72FB" w:rsidRDefault="00FC02EB" w:rsidP="00FC02EB">
      <w:pPr>
        <w:tabs>
          <w:tab w:val="num" w:pos="-3261"/>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s-ES_tradnl" w:eastAsia="es-MX"/>
        </w:rPr>
      </w:pPr>
    </w:p>
    <w:p w14:paraId="2DA46FBC" w14:textId="6B2B302D" w:rsidR="00FC02EB" w:rsidRPr="00ED72FB" w:rsidRDefault="00FC02EB" w:rsidP="00FC02EB">
      <w:pPr>
        <w:numPr>
          <w:ilvl w:val="0"/>
          <w:numId w:val="2"/>
        </w:numPr>
        <w:tabs>
          <w:tab w:val="num" w:pos="-3261"/>
          <w:tab w:val="left" w:pos="567"/>
        </w:tabs>
        <w:overflowPunct w:val="0"/>
        <w:autoSpaceDE w:val="0"/>
        <w:autoSpaceDN w:val="0"/>
        <w:adjustRightInd w:val="0"/>
        <w:spacing w:after="0" w:line="240" w:lineRule="auto"/>
        <w:ind w:left="0" w:right="103" w:firstLine="0"/>
        <w:jc w:val="both"/>
        <w:textAlignment w:val="baseline"/>
        <w:rPr>
          <w:rFonts w:ascii="Times New Roman" w:eastAsia="Times New Roman" w:hAnsi="Times New Roman" w:cs="Times New Roman"/>
          <w:sz w:val="28"/>
          <w:szCs w:val="28"/>
          <w:lang w:val="es-ES_tradnl" w:eastAsia="es-MX"/>
        </w:rPr>
      </w:pPr>
      <w:bookmarkStart w:id="1" w:name="_Hlk115786162"/>
      <w:r w:rsidRPr="00ED72FB">
        <w:rPr>
          <w:rFonts w:ascii="Times New Roman" w:hAnsi="Times New Roman" w:cs="Times New Roman"/>
          <w:sz w:val="28"/>
          <w:szCs w:val="28"/>
          <w:lang w:eastAsia="zh-CN"/>
        </w:rPr>
        <w:t xml:space="preserve">El 21 de junio de 2024, la </w:t>
      </w:r>
      <w:r w:rsidR="00945BDC">
        <w:rPr>
          <w:rFonts w:ascii="Times New Roman" w:hAnsi="Times New Roman" w:cs="Times New Roman"/>
          <w:sz w:val="28"/>
          <w:szCs w:val="28"/>
          <w:lang w:eastAsia="zh-CN"/>
        </w:rPr>
        <w:t>S</w:t>
      </w:r>
      <w:r w:rsidRPr="00ED72FB">
        <w:rPr>
          <w:rFonts w:ascii="Times New Roman" w:hAnsi="Times New Roman" w:cs="Times New Roman"/>
          <w:sz w:val="28"/>
          <w:szCs w:val="28"/>
          <w:lang w:eastAsia="zh-CN"/>
        </w:rPr>
        <w:t xml:space="preserve">ecretaría </w:t>
      </w:r>
      <w:r w:rsidR="00945BDC">
        <w:rPr>
          <w:rFonts w:ascii="Times New Roman" w:hAnsi="Times New Roman" w:cs="Times New Roman"/>
          <w:sz w:val="28"/>
          <w:szCs w:val="28"/>
          <w:lang w:eastAsia="zh-CN"/>
        </w:rPr>
        <w:t>J</w:t>
      </w:r>
      <w:r w:rsidRPr="00ED72FB">
        <w:rPr>
          <w:rFonts w:ascii="Times New Roman" w:hAnsi="Times New Roman" w:cs="Times New Roman"/>
          <w:sz w:val="28"/>
          <w:szCs w:val="28"/>
          <w:lang w:eastAsia="zh-CN"/>
        </w:rPr>
        <w:t xml:space="preserve">urídica de la Presidencia de la República le remitió a esta </w:t>
      </w:r>
      <w:r w:rsidR="00945BDC">
        <w:rPr>
          <w:rFonts w:ascii="Times New Roman" w:hAnsi="Times New Roman" w:cs="Times New Roman"/>
          <w:sz w:val="28"/>
          <w:szCs w:val="28"/>
          <w:lang w:eastAsia="zh-CN"/>
        </w:rPr>
        <w:t>C</w:t>
      </w:r>
      <w:r w:rsidRPr="00ED72FB">
        <w:rPr>
          <w:rFonts w:ascii="Times New Roman" w:hAnsi="Times New Roman" w:cs="Times New Roman"/>
          <w:sz w:val="28"/>
          <w:szCs w:val="28"/>
          <w:lang w:eastAsia="zh-CN"/>
        </w:rPr>
        <w:t xml:space="preserve">orporación una copia auténtica de la Ley </w:t>
      </w:r>
      <w:r w:rsidRPr="00ED72FB">
        <w:rPr>
          <w:rFonts w:ascii="Times New Roman" w:hAnsi="Times New Roman" w:cs="Times New Roman"/>
          <w:sz w:val="28"/>
          <w:szCs w:val="28"/>
        </w:rPr>
        <w:t>2363 del 14 de junio de 2024, “por medio de la cual se aprueba el ‘Convenio Regional de Reconocimiento de Estudios, Títulos y Diplomas de Educación Superior en América Latina y el Caribe’, hecho en Buenos Aires, República de Argentina, el 13 de julio de 2019”, en cumplimiento del artículo 241.10 de la Constitución Política</w:t>
      </w:r>
      <w:r w:rsidRPr="00ED72FB">
        <w:rPr>
          <w:rStyle w:val="Refdenotaalpie"/>
          <w:rFonts w:ascii="Times New Roman" w:hAnsi="Times New Roman" w:cs="Times New Roman"/>
          <w:sz w:val="28"/>
          <w:szCs w:val="28"/>
        </w:rPr>
        <w:footnoteReference w:id="1"/>
      </w:r>
      <w:r w:rsidRPr="00ED72FB">
        <w:rPr>
          <w:rFonts w:ascii="Times New Roman" w:hAnsi="Times New Roman" w:cs="Times New Roman"/>
          <w:sz w:val="28"/>
          <w:szCs w:val="28"/>
        </w:rPr>
        <w:t xml:space="preserve">. </w:t>
      </w:r>
      <w:r w:rsidRPr="00ED72FB">
        <w:rPr>
          <w:rFonts w:ascii="Times New Roman" w:hAnsi="Times New Roman" w:cs="Times New Roman"/>
          <w:sz w:val="28"/>
          <w:szCs w:val="28"/>
          <w:lang w:eastAsia="zh-CN"/>
        </w:rPr>
        <w:t>La Secretaría de la Corte Constitucional envió el expediente LAT-500 al despacho de la magistrada sustanciadora el 15 de julio de 2024, en cumplimiento del reparto efectuado por la Sala Plena el 12 de julio anterior.</w:t>
      </w:r>
      <w:r w:rsidRPr="00ED72FB">
        <w:rPr>
          <w:rFonts w:ascii="Times New Roman" w:hAnsi="Times New Roman" w:cs="Times New Roman"/>
          <w:sz w:val="28"/>
          <w:szCs w:val="28"/>
          <w:lang w:val="es-CO" w:eastAsia="en-US"/>
        </w:rPr>
        <w:t xml:space="preserve"> </w:t>
      </w:r>
    </w:p>
    <w:p w14:paraId="185F5551" w14:textId="77777777" w:rsidR="00FC02EB" w:rsidRPr="00ED72FB" w:rsidRDefault="00FC02EB" w:rsidP="00FC02EB">
      <w:pPr>
        <w:tabs>
          <w:tab w:val="left" w:pos="567"/>
        </w:tabs>
        <w:overflowPunct w:val="0"/>
        <w:autoSpaceDE w:val="0"/>
        <w:autoSpaceDN w:val="0"/>
        <w:adjustRightInd w:val="0"/>
        <w:spacing w:after="0" w:line="240" w:lineRule="auto"/>
        <w:ind w:right="103"/>
        <w:jc w:val="both"/>
        <w:textAlignment w:val="baseline"/>
        <w:rPr>
          <w:rFonts w:ascii="Times New Roman" w:eastAsia="Times New Roman" w:hAnsi="Times New Roman" w:cs="Times New Roman"/>
          <w:sz w:val="28"/>
          <w:szCs w:val="28"/>
          <w:lang w:val="es-ES_tradnl" w:eastAsia="es-MX"/>
        </w:rPr>
      </w:pPr>
    </w:p>
    <w:p w14:paraId="1C58CBFC" w14:textId="3B0345E2" w:rsidR="00FC02EB" w:rsidRPr="00ED72FB" w:rsidRDefault="00FC02EB" w:rsidP="00FC02EB">
      <w:pPr>
        <w:numPr>
          <w:ilvl w:val="0"/>
          <w:numId w:val="2"/>
        </w:numPr>
        <w:tabs>
          <w:tab w:val="num" w:pos="-3261"/>
          <w:tab w:val="left" w:pos="567"/>
        </w:tabs>
        <w:overflowPunct w:val="0"/>
        <w:autoSpaceDE w:val="0"/>
        <w:autoSpaceDN w:val="0"/>
        <w:adjustRightInd w:val="0"/>
        <w:spacing w:after="0" w:line="240" w:lineRule="auto"/>
        <w:ind w:left="0" w:right="103" w:firstLine="0"/>
        <w:jc w:val="both"/>
        <w:textAlignment w:val="baseline"/>
        <w:rPr>
          <w:rFonts w:ascii="Times New Roman" w:eastAsia="Times New Roman" w:hAnsi="Times New Roman" w:cs="Times New Roman"/>
          <w:sz w:val="28"/>
          <w:szCs w:val="28"/>
          <w:lang w:val="es-ES_tradnl" w:eastAsia="es-MX"/>
        </w:rPr>
      </w:pPr>
      <w:r w:rsidRPr="00ED72FB">
        <w:rPr>
          <w:rFonts w:ascii="Times New Roman" w:hAnsi="Times New Roman" w:cs="Times New Roman"/>
          <w:sz w:val="28"/>
          <w:szCs w:val="28"/>
          <w:lang w:eastAsia="zh-CN"/>
        </w:rPr>
        <w:t>La magistrada sustanciadora avocó el examen de constitucionalidad de este expediente en el Auto del 29 de julio de 2024</w:t>
      </w:r>
      <w:r w:rsidRPr="00ED72FB">
        <w:rPr>
          <w:rStyle w:val="Refdenotaalpie"/>
          <w:rFonts w:ascii="Times New Roman" w:hAnsi="Times New Roman" w:cs="Times New Roman"/>
          <w:sz w:val="28"/>
          <w:szCs w:val="28"/>
          <w:lang w:eastAsia="zh-CN"/>
        </w:rPr>
        <w:footnoteReference w:id="2"/>
      </w:r>
      <w:r w:rsidRPr="00ED72FB">
        <w:rPr>
          <w:rFonts w:ascii="Times New Roman" w:hAnsi="Times New Roman" w:cs="Times New Roman"/>
          <w:sz w:val="28"/>
          <w:szCs w:val="28"/>
          <w:lang w:eastAsia="zh-CN"/>
        </w:rPr>
        <w:t xml:space="preserve">, y decretó las siguientes pruebas: (i) le solicitó a los secretarios generales del Senado y la Cámara de Representantes que remitieran una copia integral del expediente legislativo correspondiente, con la certificación de las fechas de las publicaciones, las sesiones, el quórum deliberatorio y decisorio, de las mayorías y votaciones con </w:t>
      </w:r>
      <w:r w:rsidRPr="00ED72FB">
        <w:rPr>
          <w:rFonts w:ascii="Times New Roman" w:hAnsi="Times New Roman" w:cs="Times New Roman"/>
          <w:sz w:val="28"/>
          <w:szCs w:val="28"/>
          <w:lang w:eastAsia="zh-CN"/>
        </w:rPr>
        <w:lastRenderedPageBreak/>
        <w:t>las que se discutió y aprobó la Ley 2363 del 14 de junio de 2024, y del cumplimiento del anuncio de votación previsto en el artículo 161 de la Constitución Política; y (ii) ofició al Ministerio de Relaciones Exteriores para que certificara quiénes suscribieron en nombre de Colombia el instrumento internacional objeto de revisión, cuáles eran sus poderes y si sus actos fueron confirmados por el presidente de la República</w:t>
      </w:r>
      <w:r w:rsidRPr="00ED72FB">
        <w:rPr>
          <w:rFonts w:ascii="Times New Roman" w:eastAsia="Times New Roman" w:hAnsi="Times New Roman" w:cs="Times New Roman"/>
          <w:sz w:val="28"/>
          <w:szCs w:val="28"/>
          <w:lang w:val="es-CO" w:eastAsia="es-MX"/>
        </w:rPr>
        <w:t>.</w:t>
      </w:r>
    </w:p>
    <w:p w14:paraId="159647EF" w14:textId="77777777" w:rsidR="00FC02EB" w:rsidRPr="00ED72FB" w:rsidRDefault="00FC02EB" w:rsidP="00FC02EB">
      <w:pPr>
        <w:pStyle w:val="Prrafodelista"/>
        <w:tabs>
          <w:tab w:val="left" w:pos="567"/>
        </w:tabs>
        <w:spacing w:after="0" w:line="240" w:lineRule="auto"/>
        <w:rPr>
          <w:rFonts w:ascii="Times New Roman" w:eastAsia="Times New Roman" w:hAnsi="Times New Roman" w:cs="Times New Roman"/>
          <w:sz w:val="28"/>
          <w:szCs w:val="28"/>
          <w:lang w:val="es-CO" w:eastAsia="es-MX"/>
        </w:rPr>
      </w:pPr>
    </w:p>
    <w:p w14:paraId="415256F1" w14:textId="438FDE51" w:rsidR="00FC02EB" w:rsidRPr="00ED72FB" w:rsidRDefault="00FC02EB" w:rsidP="00FC02EB">
      <w:pPr>
        <w:numPr>
          <w:ilvl w:val="0"/>
          <w:numId w:val="2"/>
        </w:numPr>
        <w:tabs>
          <w:tab w:val="num" w:pos="-3261"/>
          <w:tab w:val="left" w:pos="567"/>
        </w:tabs>
        <w:overflowPunct w:val="0"/>
        <w:autoSpaceDE w:val="0"/>
        <w:autoSpaceDN w:val="0"/>
        <w:adjustRightInd w:val="0"/>
        <w:spacing w:after="0" w:line="240" w:lineRule="auto"/>
        <w:ind w:left="0" w:right="103" w:firstLine="0"/>
        <w:jc w:val="both"/>
        <w:textAlignment w:val="baseline"/>
        <w:rPr>
          <w:rFonts w:ascii="Times New Roman" w:eastAsia="Times New Roman" w:hAnsi="Times New Roman" w:cs="Times New Roman"/>
          <w:sz w:val="28"/>
          <w:szCs w:val="28"/>
          <w:lang w:val="es-ES_tradnl" w:eastAsia="es-MX"/>
        </w:rPr>
      </w:pPr>
      <w:r w:rsidRPr="00ED72FB">
        <w:rPr>
          <w:rFonts w:ascii="Times New Roman" w:hAnsi="Times New Roman" w:cs="Times New Roman"/>
          <w:sz w:val="28"/>
          <w:szCs w:val="28"/>
          <w:lang w:eastAsia="zh-CN"/>
        </w:rPr>
        <w:t xml:space="preserve">Además, ordenó (iii) que se corriera traslado por 30 días </w:t>
      </w:r>
      <w:r w:rsidR="00603FC6">
        <w:rPr>
          <w:rFonts w:ascii="Times New Roman" w:hAnsi="Times New Roman" w:cs="Times New Roman"/>
          <w:sz w:val="28"/>
          <w:szCs w:val="28"/>
          <w:lang w:eastAsia="zh-CN"/>
        </w:rPr>
        <w:t>al</w:t>
      </w:r>
      <w:r w:rsidRPr="00ED72FB">
        <w:rPr>
          <w:rFonts w:ascii="Times New Roman" w:hAnsi="Times New Roman" w:cs="Times New Roman"/>
          <w:sz w:val="28"/>
          <w:szCs w:val="28"/>
          <w:lang w:eastAsia="zh-CN"/>
        </w:rPr>
        <w:t xml:space="preserve"> </w:t>
      </w:r>
      <w:r w:rsidR="00603FC6">
        <w:rPr>
          <w:rFonts w:ascii="Times New Roman" w:hAnsi="Times New Roman" w:cs="Times New Roman"/>
          <w:sz w:val="28"/>
          <w:szCs w:val="28"/>
          <w:lang w:eastAsia="zh-CN"/>
        </w:rPr>
        <w:t>p</w:t>
      </w:r>
      <w:r w:rsidR="00945BDC" w:rsidRPr="00ED72FB">
        <w:rPr>
          <w:rFonts w:ascii="Times New Roman" w:hAnsi="Times New Roman" w:cs="Times New Roman"/>
          <w:sz w:val="28"/>
          <w:szCs w:val="28"/>
          <w:lang w:eastAsia="zh-CN"/>
        </w:rPr>
        <w:t>rocurad</w:t>
      </w:r>
      <w:r w:rsidR="00603FC6">
        <w:rPr>
          <w:rFonts w:ascii="Times New Roman" w:hAnsi="Times New Roman" w:cs="Times New Roman"/>
          <w:sz w:val="28"/>
          <w:szCs w:val="28"/>
          <w:lang w:eastAsia="zh-CN"/>
        </w:rPr>
        <w:t>or</w:t>
      </w:r>
      <w:r w:rsidR="00945BDC" w:rsidRPr="00ED72FB">
        <w:rPr>
          <w:rFonts w:ascii="Times New Roman" w:hAnsi="Times New Roman" w:cs="Times New Roman"/>
          <w:sz w:val="28"/>
          <w:szCs w:val="28"/>
          <w:lang w:eastAsia="zh-CN"/>
        </w:rPr>
        <w:t xml:space="preserve"> </w:t>
      </w:r>
      <w:r w:rsidR="00603FC6">
        <w:rPr>
          <w:rFonts w:ascii="Times New Roman" w:hAnsi="Times New Roman" w:cs="Times New Roman"/>
          <w:sz w:val="28"/>
          <w:szCs w:val="28"/>
          <w:lang w:eastAsia="zh-CN"/>
        </w:rPr>
        <w:t>g</w:t>
      </w:r>
      <w:r w:rsidRPr="00ED72FB">
        <w:rPr>
          <w:rFonts w:ascii="Times New Roman" w:hAnsi="Times New Roman" w:cs="Times New Roman"/>
          <w:sz w:val="28"/>
          <w:szCs w:val="28"/>
          <w:lang w:eastAsia="zh-CN"/>
        </w:rPr>
        <w:t xml:space="preserve">eneral de la </w:t>
      </w:r>
      <w:r w:rsidR="00603FC6">
        <w:rPr>
          <w:rFonts w:ascii="Times New Roman" w:hAnsi="Times New Roman" w:cs="Times New Roman"/>
          <w:sz w:val="28"/>
          <w:szCs w:val="28"/>
          <w:lang w:eastAsia="zh-CN"/>
        </w:rPr>
        <w:t>n</w:t>
      </w:r>
      <w:r w:rsidRPr="00ED72FB">
        <w:rPr>
          <w:rFonts w:ascii="Times New Roman" w:hAnsi="Times New Roman" w:cs="Times New Roman"/>
          <w:sz w:val="28"/>
          <w:szCs w:val="28"/>
          <w:lang w:eastAsia="zh-CN"/>
        </w:rPr>
        <w:t xml:space="preserve">ación cuando se recibieran las pruebas; (iv) la fijación en lista del proceso durante 10 días para que cualquier ciudadano impugnara o defendiera la norma revisada; y (v) la comunicación del inicio del proceso a los presidentes de la República y </w:t>
      </w:r>
      <w:r w:rsidR="00945BDC">
        <w:rPr>
          <w:rFonts w:ascii="Times New Roman" w:hAnsi="Times New Roman" w:cs="Times New Roman"/>
          <w:sz w:val="28"/>
          <w:szCs w:val="28"/>
          <w:lang w:eastAsia="zh-CN"/>
        </w:rPr>
        <w:t>d</w:t>
      </w:r>
      <w:r w:rsidRPr="00ED72FB">
        <w:rPr>
          <w:rFonts w:ascii="Times New Roman" w:hAnsi="Times New Roman" w:cs="Times New Roman"/>
          <w:sz w:val="28"/>
          <w:szCs w:val="28"/>
          <w:lang w:eastAsia="zh-CN"/>
        </w:rPr>
        <w:t>el Congreso</w:t>
      </w:r>
      <w:r w:rsidRPr="00ED72FB">
        <w:rPr>
          <w:rStyle w:val="Refdenotaalpie"/>
          <w:rFonts w:ascii="Times New Roman" w:hAnsi="Times New Roman" w:cs="Times New Roman"/>
          <w:sz w:val="28"/>
          <w:szCs w:val="28"/>
          <w:lang w:eastAsia="zh-CN"/>
        </w:rPr>
        <w:footnoteReference w:id="3"/>
      </w:r>
      <w:r w:rsidRPr="00ED72FB">
        <w:rPr>
          <w:rFonts w:ascii="Times New Roman" w:hAnsi="Times New Roman" w:cs="Times New Roman"/>
          <w:sz w:val="28"/>
          <w:szCs w:val="28"/>
          <w:lang w:eastAsia="zh-CN"/>
        </w:rPr>
        <w:t xml:space="preserve"> y al Ministerio de Relaciones Exteriores</w:t>
      </w:r>
      <w:r w:rsidRPr="00ED72FB">
        <w:rPr>
          <w:rStyle w:val="Refdenotaalpie"/>
          <w:rFonts w:ascii="Times New Roman" w:hAnsi="Times New Roman" w:cs="Times New Roman"/>
          <w:sz w:val="28"/>
          <w:szCs w:val="28"/>
          <w:lang w:eastAsia="zh-CN"/>
        </w:rPr>
        <w:footnoteReference w:id="4"/>
      </w:r>
      <w:r w:rsidRPr="00ED72FB">
        <w:rPr>
          <w:rFonts w:ascii="Times New Roman" w:hAnsi="Times New Roman" w:cs="Times New Roman"/>
          <w:sz w:val="28"/>
          <w:szCs w:val="28"/>
          <w:lang w:eastAsia="zh-CN"/>
        </w:rPr>
        <w:t>. También invitó</w:t>
      </w:r>
      <w:r w:rsidRPr="00ED72FB">
        <w:rPr>
          <w:rStyle w:val="Refdenotaalpie"/>
          <w:rFonts w:ascii="Times New Roman" w:hAnsi="Times New Roman" w:cs="Times New Roman"/>
          <w:sz w:val="28"/>
          <w:szCs w:val="28"/>
          <w:lang w:eastAsia="zh-CN"/>
        </w:rPr>
        <w:footnoteReference w:id="5"/>
      </w:r>
      <w:r w:rsidRPr="00ED72FB">
        <w:rPr>
          <w:rFonts w:ascii="Times New Roman" w:hAnsi="Times New Roman" w:cs="Times New Roman"/>
          <w:sz w:val="28"/>
          <w:szCs w:val="28"/>
          <w:lang w:eastAsia="zh-CN"/>
        </w:rPr>
        <w:t xml:space="preserve"> a diferentes entidades e instituciones para que emitieran un concepto sobre la constitucionalidad de la Ley 2363 de 2024</w:t>
      </w:r>
      <w:r w:rsidRPr="00ED72FB">
        <w:rPr>
          <w:rStyle w:val="Refdenotaalpie"/>
          <w:rFonts w:ascii="Times New Roman" w:hAnsi="Times New Roman" w:cs="Times New Roman"/>
          <w:sz w:val="28"/>
          <w:szCs w:val="28"/>
          <w:lang w:eastAsia="zh-CN"/>
        </w:rPr>
        <w:footnoteReference w:id="6"/>
      </w:r>
      <w:r w:rsidRPr="00ED72FB">
        <w:rPr>
          <w:rFonts w:ascii="Times New Roman" w:hAnsi="Times New Roman" w:cs="Times New Roman"/>
          <w:sz w:val="28"/>
          <w:szCs w:val="28"/>
          <w:lang w:eastAsia="zh-CN"/>
        </w:rPr>
        <w:t>.</w:t>
      </w:r>
    </w:p>
    <w:p w14:paraId="0EDE4175" w14:textId="77777777" w:rsidR="00FC02EB" w:rsidRPr="00ED72FB" w:rsidRDefault="00FC02EB" w:rsidP="00FC02EB">
      <w:pPr>
        <w:tabs>
          <w:tab w:val="left" w:pos="567"/>
        </w:tabs>
        <w:overflowPunct w:val="0"/>
        <w:autoSpaceDE w:val="0"/>
        <w:autoSpaceDN w:val="0"/>
        <w:adjustRightInd w:val="0"/>
        <w:spacing w:after="0" w:line="240" w:lineRule="auto"/>
        <w:ind w:right="103"/>
        <w:jc w:val="both"/>
        <w:textAlignment w:val="baseline"/>
        <w:rPr>
          <w:rFonts w:ascii="Times New Roman" w:eastAsia="Times New Roman" w:hAnsi="Times New Roman" w:cs="Times New Roman"/>
          <w:sz w:val="28"/>
          <w:szCs w:val="28"/>
          <w:lang w:val="es-ES_tradnl" w:eastAsia="es-MX"/>
        </w:rPr>
      </w:pPr>
    </w:p>
    <w:p w14:paraId="7F81DA2D" w14:textId="2ED7EE96" w:rsidR="00FC02EB" w:rsidRPr="00ED72FB" w:rsidRDefault="00FC02EB" w:rsidP="00FC02EB">
      <w:pPr>
        <w:numPr>
          <w:ilvl w:val="0"/>
          <w:numId w:val="2"/>
        </w:numPr>
        <w:tabs>
          <w:tab w:val="num" w:pos="-3261"/>
          <w:tab w:val="left" w:pos="567"/>
        </w:tabs>
        <w:overflowPunct w:val="0"/>
        <w:autoSpaceDE w:val="0"/>
        <w:autoSpaceDN w:val="0"/>
        <w:adjustRightInd w:val="0"/>
        <w:spacing w:after="0" w:line="240" w:lineRule="auto"/>
        <w:ind w:left="0" w:right="103" w:firstLine="0"/>
        <w:jc w:val="both"/>
        <w:textAlignment w:val="baseline"/>
        <w:rPr>
          <w:rFonts w:ascii="Times New Roman" w:eastAsia="Times New Roman" w:hAnsi="Times New Roman" w:cs="Times New Roman"/>
          <w:sz w:val="28"/>
          <w:szCs w:val="28"/>
          <w:lang w:val="es-ES_tradnl" w:eastAsia="es-MX"/>
        </w:rPr>
      </w:pPr>
      <w:r w:rsidRPr="00ED72FB">
        <w:rPr>
          <w:rFonts w:ascii="Times New Roman" w:hAnsi="Times New Roman" w:cs="Times New Roman"/>
          <w:sz w:val="28"/>
          <w:szCs w:val="28"/>
          <w:lang w:eastAsia="zh-CN"/>
        </w:rPr>
        <w:t>La magistrada sustanciadora remitió el expediente a la Secretaría General de la Corte Constitucional para continuar con el trámite a través del Auto del 6 de diciembre de 2024</w:t>
      </w:r>
      <w:r w:rsidRPr="00ED72FB">
        <w:rPr>
          <w:rStyle w:val="Refdenotaalpie"/>
          <w:rFonts w:ascii="Times New Roman" w:hAnsi="Times New Roman" w:cs="Times New Roman"/>
          <w:sz w:val="28"/>
          <w:szCs w:val="28"/>
          <w:lang w:eastAsia="zh-CN"/>
        </w:rPr>
        <w:footnoteReference w:id="7"/>
      </w:r>
      <w:r w:rsidRPr="00ED72FB">
        <w:rPr>
          <w:rFonts w:ascii="Times New Roman" w:hAnsi="Times New Roman" w:cs="Times New Roman"/>
          <w:sz w:val="28"/>
          <w:szCs w:val="28"/>
          <w:lang w:eastAsia="zh-CN"/>
        </w:rPr>
        <w:t>, después de recibir y calificar las pruebas recibidas. En aquella providencia resaltó que, tras revisar los documentos remitidos, no había sido posible obtener la información completa de los antecedentes legislativos de la Ley 2363 del 14 de junio de 2024</w:t>
      </w:r>
      <w:r w:rsidRPr="00ED72FB">
        <w:rPr>
          <w:rStyle w:val="Refdenotaalpie"/>
          <w:rFonts w:ascii="Times New Roman" w:hAnsi="Times New Roman" w:cs="Times New Roman"/>
          <w:sz w:val="28"/>
          <w:szCs w:val="28"/>
          <w:lang w:eastAsia="zh-CN"/>
        </w:rPr>
        <w:footnoteReference w:id="8"/>
      </w:r>
      <w:r w:rsidRPr="00ED72FB">
        <w:rPr>
          <w:rFonts w:ascii="Times New Roman" w:hAnsi="Times New Roman" w:cs="Times New Roman"/>
          <w:sz w:val="28"/>
          <w:szCs w:val="28"/>
          <w:lang w:eastAsia="zh-CN"/>
        </w:rPr>
        <w:t xml:space="preserve">. Por lo tanto, dispuso tener como prueba </w:t>
      </w:r>
      <w:r w:rsidRPr="00ED72FB">
        <w:rPr>
          <w:rFonts w:ascii="Times New Roman" w:hAnsi="Times New Roman" w:cs="Times New Roman"/>
          <w:sz w:val="28"/>
        </w:rPr>
        <w:t>los enlaces disponibles en la página web de la Imprenta Nacional, en los que es posible acceder a dichos documentos. La Secretaría General de la Corte Constitucional fijó en lista el presente proceso el 11 de diciembre de 2024</w:t>
      </w:r>
      <w:r w:rsidRPr="00ED72FB">
        <w:rPr>
          <w:rStyle w:val="Refdenotaalpie"/>
          <w:rFonts w:ascii="Times New Roman" w:hAnsi="Times New Roman" w:cs="Times New Roman"/>
          <w:sz w:val="28"/>
        </w:rPr>
        <w:footnoteReference w:id="9"/>
      </w:r>
      <w:r w:rsidRPr="00ED72FB">
        <w:rPr>
          <w:rFonts w:ascii="Times New Roman" w:hAnsi="Times New Roman" w:cs="Times New Roman"/>
          <w:sz w:val="28"/>
        </w:rPr>
        <w:t>.</w:t>
      </w:r>
    </w:p>
    <w:bookmarkEnd w:id="1"/>
    <w:p w14:paraId="339BE4CA" w14:textId="77777777" w:rsidR="00FC02EB" w:rsidRPr="00ED72FB" w:rsidRDefault="00FC02EB" w:rsidP="00FC02EB">
      <w:pPr>
        <w:tabs>
          <w:tab w:val="left" w:pos="567"/>
        </w:tabs>
        <w:overflowPunct w:val="0"/>
        <w:autoSpaceDE w:val="0"/>
        <w:autoSpaceDN w:val="0"/>
        <w:adjustRightInd w:val="0"/>
        <w:spacing w:after="0" w:line="240" w:lineRule="auto"/>
        <w:ind w:right="103"/>
        <w:jc w:val="both"/>
        <w:textAlignment w:val="baseline"/>
        <w:rPr>
          <w:rFonts w:ascii="Times New Roman" w:eastAsia="Times New Roman" w:hAnsi="Times New Roman" w:cs="Times New Roman"/>
          <w:sz w:val="28"/>
          <w:szCs w:val="28"/>
          <w:lang w:val="es-ES_tradnl" w:eastAsia="es-MX"/>
        </w:rPr>
      </w:pPr>
    </w:p>
    <w:p w14:paraId="7EA4D758" w14:textId="13A18592" w:rsidR="00FC02EB" w:rsidRPr="00ED72FB" w:rsidRDefault="00FC02EB" w:rsidP="00FC02EB">
      <w:pPr>
        <w:numPr>
          <w:ilvl w:val="0"/>
          <w:numId w:val="2"/>
        </w:numPr>
        <w:tabs>
          <w:tab w:val="num" w:pos="-3261"/>
          <w:tab w:val="left" w:pos="567"/>
        </w:tabs>
        <w:overflowPunct w:val="0"/>
        <w:autoSpaceDE w:val="0"/>
        <w:autoSpaceDN w:val="0"/>
        <w:adjustRightInd w:val="0"/>
        <w:spacing w:after="0" w:line="240" w:lineRule="auto"/>
        <w:ind w:left="0" w:right="103" w:firstLine="0"/>
        <w:jc w:val="both"/>
        <w:textAlignment w:val="baseline"/>
        <w:rPr>
          <w:rFonts w:ascii="Times New Roman" w:eastAsia="Times New Roman" w:hAnsi="Times New Roman" w:cs="Times New Roman"/>
          <w:sz w:val="28"/>
          <w:szCs w:val="28"/>
          <w:lang w:val="es-ES_tradnl" w:eastAsia="es-MX"/>
        </w:rPr>
      </w:pPr>
      <w:r w:rsidRPr="00ED72FB">
        <w:rPr>
          <w:rFonts w:ascii="Times New Roman" w:hAnsi="Times New Roman" w:cs="Times New Roman"/>
          <w:sz w:val="28"/>
          <w:szCs w:val="28"/>
          <w:lang w:eastAsia="es-ES"/>
        </w:rPr>
        <w:t xml:space="preserve">El 16 de enero de 2025, </w:t>
      </w:r>
      <w:r w:rsidRPr="00ED72FB">
        <w:rPr>
          <w:rFonts w:ascii="Times New Roman" w:hAnsi="Times New Roman" w:cs="Times New Roman"/>
          <w:color w:val="000000" w:themeColor="text1"/>
          <w:sz w:val="28"/>
          <w:szCs w:val="28"/>
          <w:shd w:val="clear" w:color="auto" w:fill="FFFFFF"/>
        </w:rPr>
        <w:t xml:space="preserve">el procurador general de la nación Gregorio Eljach Pacheco manifestó su impedimento para rendir concepto sobre la constitucionalidad de </w:t>
      </w:r>
      <w:r w:rsidRPr="00ED72FB">
        <w:rPr>
          <w:rFonts w:ascii="Times New Roman" w:hAnsi="Times New Roman" w:cs="Times New Roman"/>
          <w:sz w:val="28"/>
          <w:szCs w:val="28"/>
          <w:lang w:val="es-CO" w:eastAsia="en-US"/>
        </w:rPr>
        <w:t xml:space="preserve">la </w:t>
      </w:r>
      <w:r w:rsidRPr="00ED72FB">
        <w:rPr>
          <w:rFonts w:ascii="Times New Roman" w:hAnsi="Times New Roman" w:cs="Times New Roman"/>
          <w:sz w:val="28"/>
          <w:szCs w:val="28"/>
          <w:lang w:eastAsia="zh-CN"/>
        </w:rPr>
        <w:t>Ley 2363 del 14 de junio de 2024</w:t>
      </w:r>
      <w:r w:rsidRPr="00ED72FB">
        <w:rPr>
          <w:rFonts w:ascii="Times New Roman" w:hAnsi="Times New Roman" w:cs="Times New Roman"/>
          <w:sz w:val="28"/>
          <w:szCs w:val="28"/>
          <w:lang w:val="es-CO" w:eastAsia="en-US"/>
        </w:rPr>
        <w:t xml:space="preserve"> al</w:t>
      </w:r>
      <w:r w:rsidRPr="00ED72FB">
        <w:rPr>
          <w:rFonts w:ascii="Times New Roman" w:hAnsi="Times New Roman" w:cs="Times New Roman"/>
          <w:color w:val="000000" w:themeColor="text1"/>
          <w:sz w:val="28"/>
          <w:szCs w:val="28"/>
          <w:shd w:val="clear" w:color="auto" w:fill="FFFFFF"/>
        </w:rPr>
        <w:t xml:space="preserve"> considerarse incurso en la causal consistente en haber intervenido en la expedición de la norma </w:t>
      </w:r>
      <w:r w:rsidRPr="00ED72FB">
        <w:rPr>
          <w:rFonts w:ascii="Times New Roman" w:hAnsi="Times New Roman" w:cs="Times New Roman"/>
          <w:color w:val="000000" w:themeColor="text1"/>
          <w:sz w:val="28"/>
          <w:szCs w:val="28"/>
          <w:lang w:eastAsia="es-ES_tradnl"/>
        </w:rPr>
        <w:t>objeto de control constitucional</w:t>
      </w:r>
      <w:r w:rsidRPr="00ED72FB">
        <w:rPr>
          <w:rStyle w:val="Refdenotaalpie"/>
          <w:rFonts w:ascii="Times New Roman" w:hAnsi="Times New Roman" w:cs="Times New Roman"/>
          <w:color w:val="000000" w:themeColor="text1"/>
          <w:sz w:val="28"/>
          <w:szCs w:val="28"/>
          <w:lang w:eastAsia="es-ES_tradnl"/>
        </w:rPr>
        <w:footnoteReference w:id="10"/>
      </w:r>
      <w:r w:rsidRPr="00ED72FB">
        <w:rPr>
          <w:rFonts w:ascii="Times New Roman" w:hAnsi="Times New Roman" w:cs="Times New Roman"/>
          <w:color w:val="000000" w:themeColor="text1"/>
          <w:sz w:val="28"/>
          <w:szCs w:val="28"/>
          <w:shd w:val="clear" w:color="auto" w:fill="FFFFFF"/>
        </w:rPr>
        <w:t xml:space="preserve">. Argumentó que </w:t>
      </w:r>
      <w:r w:rsidRPr="00ED72FB">
        <w:rPr>
          <w:rFonts w:ascii="Times New Roman" w:hAnsi="Times New Roman" w:cs="Times New Roman"/>
          <w:color w:val="000000" w:themeColor="text1"/>
          <w:sz w:val="28"/>
          <w:szCs w:val="28"/>
        </w:rPr>
        <w:t>“particip[ó] de forma verbal y escrita durante su trámite legislativo, en ejercicio de las funciones de [su] otrora condición de secretario general del Senado de la República”</w:t>
      </w:r>
      <w:r w:rsidRPr="00ED72FB">
        <w:rPr>
          <w:rStyle w:val="Refdenotaalpie"/>
          <w:rFonts w:ascii="Times New Roman" w:hAnsi="Times New Roman" w:cs="Times New Roman"/>
          <w:color w:val="000000" w:themeColor="text1"/>
          <w:sz w:val="28"/>
          <w:szCs w:val="28"/>
        </w:rPr>
        <w:footnoteReference w:id="11"/>
      </w:r>
      <w:r w:rsidRPr="00ED72FB">
        <w:rPr>
          <w:rFonts w:ascii="Times New Roman" w:hAnsi="Times New Roman" w:cs="Times New Roman"/>
          <w:color w:val="000000" w:themeColor="text1"/>
          <w:sz w:val="28"/>
          <w:szCs w:val="28"/>
        </w:rPr>
        <w:t xml:space="preserve">. </w:t>
      </w:r>
    </w:p>
    <w:p w14:paraId="14E6537E" w14:textId="77777777" w:rsidR="00FC02EB" w:rsidRPr="00ED72FB" w:rsidRDefault="00FC02EB" w:rsidP="00FC02EB">
      <w:pPr>
        <w:tabs>
          <w:tab w:val="left" w:pos="567"/>
        </w:tabs>
        <w:overflowPunct w:val="0"/>
        <w:autoSpaceDE w:val="0"/>
        <w:autoSpaceDN w:val="0"/>
        <w:adjustRightInd w:val="0"/>
        <w:spacing w:after="0" w:line="240" w:lineRule="auto"/>
        <w:ind w:right="103"/>
        <w:jc w:val="both"/>
        <w:textAlignment w:val="baseline"/>
        <w:rPr>
          <w:rFonts w:ascii="Times New Roman" w:hAnsi="Times New Roman" w:cs="Times New Roman"/>
          <w:color w:val="000000" w:themeColor="text1"/>
          <w:sz w:val="28"/>
          <w:szCs w:val="28"/>
        </w:rPr>
      </w:pPr>
    </w:p>
    <w:p w14:paraId="631DBA73" w14:textId="6FDA79C2" w:rsidR="00FC02EB" w:rsidRPr="00ED72FB" w:rsidRDefault="00FC02EB" w:rsidP="00FC02EB">
      <w:pPr>
        <w:numPr>
          <w:ilvl w:val="0"/>
          <w:numId w:val="1"/>
        </w:numPr>
        <w:tabs>
          <w:tab w:val="left" w:pos="0"/>
          <w:tab w:val="num" w:pos="390"/>
          <w:tab w:val="num" w:pos="426"/>
          <w:tab w:val="left" w:pos="567"/>
        </w:tabs>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b/>
          <w:bCs/>
          <w:sz w:val="28"/>
          <w:szCs w:val="28"/>
          <w:lang w:val="es-ES_tradnl" w:eastAsia="es-MX"/>
        </w:rPr>
      </w:pPr>
      <w:r w:rsidRPr="00ED72FB">
        <w:rPr>
          <w:rFonts w:ascii="Times New Roman" w:eastAsia="Times New Roman" w:hAnsi="Times New Roman" w:cs="Times New Roman"/>
          <w:b/>
          <w:bCs/>
          <w:sz w:val="28"/>
          <w:szCs w:val="28"/>
          <w:lang w:val="es-ES_tradnl" w:eastAsia="es-MX"/>
        </w:rPr>
        <w:lastRenderedPageBreak/>
        <w:t>CONSIDERACIONES</w:t>
      </w:r>
      <w:r w:rsidR="00381345" w:rsidRPr="00ED72FB">
        <w:rPr>
          <w:rStyle w:val="Refdenotaalpie"/>
          <w:rFonts w:ascii="Times New Roman" w:eastAsia="Times New Roman" w:hAnsi="Times New Roman" w:cs="Times New Roman"/>
          <w:b/>
          <w:bCs/>
          <w:sz w:val="28"/>
          <w:szCs w:val="28"/>
          <w:lang w:val="es-ES_tradnl" w:eastAsia="es-MX"/>
        </w:rPr>
        <w:footnoteReference w:id="12"/>
      </w:r>
    </w:p>
    <w:p w14:paraId="0686B808" w14:textId="77777777" w:rsidR="00FC02EB" w:rsidRPr="00ED72FB" w:rsidRDefault="00FC02EB" w:rsidP="00FC02EB">
      <w:pPr>
        <w:tabs>
          <w:tab w:val="left" w:pos="0"/>
          <w:tab w:val="num" w:pos="390"/>
          <w:tab w:val="num" w:pos="426"/>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s-ES_tradnl" w:eastAsia="es-MX"/>
        </w:rPr>
      </w:pPr>
    </w:p>
    <w:p w14:paraId="794EADBF" w14:textId="44935F8E" w:rsidR="00FC02EB" w:rsidRPr="005E0738" w:rsidRDefault="00FC02EB" w:rsidP="005E0738">
      <w:pPr>
        <w:pStyle w:val="Prrafodelista"/>
        <w:numPr>
          <w:ilvl w:val="0"/>
          <w:numId w:val="3"/>
        </w:numPr>
        <w:shd w:val="clear" w:color="auto" w:fill="FFFFFF"/>
        <w:tabs>
          <w:tab w:val="left" w:pos="567"/>
        </w:tabs>
        <w:spacing w:after="0" w:line="240" w:lineRule="auto"/>
        <w:jc w:val="both"/>
        <w:textAlignment w:val="baseline"/>
        <w:rPr>
          <w:rFonts w:ascii="Times New Roman" w:hAnsi="Times New Roman" w:cs="Times New Roman"/>
          <w:color w:val="000000" w:themeColor="text1"/>
          <w:sz w:val="28"/>
          <w:szCs w:val="28"/>
          <w:lang w:eastAsia="es-ES_tradnl"/>
        </w:rPr>
      </w:pPr>
      <w:r w:rsidRPr="005E0738">
        <w:rPr>
          <w:rFonts w:ascii="Times New Roman" w:hAnsi="Times New Roman" w:cs="Times New Roman"/>
          <w:b/>
          <w:bCs/>
          <w:color w:val="000000" w:themeColor="text1"/>
          <w:sz w:val="28"/>
          <w:szCs w:val="28"/>
          <w:lang w:eastAsia="es-ES_tradnl"/>
        </w:rPr>
        <w:t>Competencia</w:t>
      </w:r>
    </w:p>
    <w:p w14:paraId="5A6C63FC" w14:textId="77777777" w:rsidR="00FC02EB" w:rsidRPr="00ED72FB" w:rsidRDefault="00FC02EB" w:rsidP="00FC02EB">
      <w:pPr>
        <w:tabs>
          <w:tab w:val="left" w:pos="567"/>
        </w:tabs>
        <w:overflowPunct w:val="0"/>
        <w:autoSpaceDE w:val="0"/>
        <w:autoSpaceDN w:val="0"/>
        <w:adjustRightInd w:val="0"/>
        <w:spacing w:after="0" w:line="240" w:lineRule="auto"/>
        <w:ind w:right="103"/>
        <w:jc w:val="both"/>
        <w:textAlignment w:val="baseline"/>
        <w:rPr>
          <w:rFonts w:ascii="Times New Roman" w:eastAsia="Times New Roman" w:hAnsi="Times New Roman" w:cs="Times New Roman"/>
          <w:sz w:val="28"/>
          <w:szCs w:val="28"/>
          <w:lang w:val="es-ES_tradnl" w:eastAsia="es-MX"/>
        </w:rPr>
      </w:pPr>
    </w:p>
    <w:p w14:paraId="43D8E753" w14:textId="65CBD15C" w:rsidR="00FC02EB" w:rsidRPr="005E0738" w:rsidRDefault="00696193" w:rsidP="005E0738">
      <w:pPr>
        <w:numPr>
          <w:ilvl w:val="0"/>
          <w:numId w:val="2"/>
        </w:numPr>
        <w:tabs>
          <w:tab w:val="num" w:pos="-3261"/>
          <w:tab w:val="left" w:pos="567"/>
        </w:tabs>
        <w:overflowPunct w:val="0"/>
        <w:autoSpaceDE w:val="0"/>
        <w:autoSpaceDN w:val="0"/>
        <w:adjustRightInd w:val="0"/>
        <w:spacing w:after="0" w:line="240" w:lineRule="auto"/>
        <w:ind w:left="0" w:right="103" w:firstLine="0"/>
        <w:jc w:val="both"/>
        <w:textAlignment w:val="baseline"/>
        <w:rPr>
          <w:rFonts w:ascii="Times New Roman" w:eastAsia="Times New Roman" w:hAnsi="Times New Roman" w:cs="Times New Roman"/>
          <w:sz w:val="28"/>
          <w:szCs w:val="28"/>
          <w:lang w:val="es-ES_tradnl" w:eastAsia="es-MX"/>
        </w:rPr>
      </w:pPr>
      <w:r w:rsidRPr="00696193">
        <w:rPr>
          <w:rFonts w:ascii="Times New Roman" w:hAnsi="Times New Roman" w:cs="Times New Roman"/>
          <w:color w:val="000000" w:themeColor="text1"/>
          <w:sz w:val="28"/>
          <w:szCs w:val="28"/>
          <w:lang w:eastAsia="es-ES_tradnl"/>
        </w:rPr>
        <w:t xml:space="preserve">Según lo establecido en el artículo 98 del Reglamento Interno de la Corte Constitucional, esta tiene la competencia para decidir sobre los impedimentos que presenten los magistrados, los conjueces, el procurador general de la nación y el viceprocurador general de la nación. </w:t>
      </w:r>
      <w:r w:rsidR="00114A10">
        <w:rPr>
          <w:rFonts w:ascii="Times New Roman" w:hAnsi="Times New Roman" w:cs="Times New Roman"/>
          <w:color w:val="000000" w:themeColor="text1"/>
          <w:sz w:val="28"/>
          <w:szCs w:val="28"/>
          <w:lang w:eastAsia="es-ES_tradnl"/>
        </w:rPr>
        <w:t>Sobre estos últimos dos casos</w:t>
      </w:r>
      <w:r w:rsidRPr="00696193">
        <w:rPr>
          <w:rFonts w:ascii="Times New Roman" w:hAnsi="Times New Roman" w:cs="Times New Roman"/>
          <w:color w:val="000000" w:themeColor="text1"/>
          <w:sz w:val="28"/>
          <w:szCs w:val="28"/>
          <w:lang w:eastAsia="es-ES_tradnl"/>
        </w:rPr>
        <w:t>, dicha competencia se refiere específicamente a los impedimentos relacionados con su función constitucional de emitir concepto en los procesos de control de constitucionalidad.</w:t>
      </w:r>
    </w:p>
    <w:p w14:paraId="732F24CE" w14:textId="77777777" w:rsidR="00FC02EB" w:rsidRPr="00ED72FB" w:rsidRDefault="00FC02EB" w:rsidP="00FC02EB">
      <w:pPr>
        <w:tabs>
          <w:tab w:val="left" w:pos="567"/>
        </w:tabs>
        <w:overflowPunct w:val="0"/>
        <w:autoSpaceDE w:val="0"/>
        <w:autoSpaceDN w:val="0"/>
        <w:adjustRightInd w:val="0"/>
        <w:spacing w:after="0" w:line="240" w:lineRule="auto"/>
        <w:ind w:right="103"/>
        <w:jc w:val="both"/>
        <w:textAlignment w:val="baseline"/>
        <w:rPr>
          <w:rFonts w:ascii="Times New Roman" w:hAnsi="Times New Roman" w:cs="Times New Roman"/>
          <w:color w:val="000000" w:themeColor="text1"/>
          <w:sz w:val="28"/>
          <w:szCs w:val="28"/>
        </w:rPr>
      </w:pPr>
    </w:p>
    <w:p w14:paraId="32F8184F" w14:textId="55679522" w:rsidR="005E0738" w:rsidRDefault="005E0738" w:rsidP="00C02197">
      <w:pPr>
        <w:pStyle w:val="Prrafodelista"/>
        <w:numPr>
          <w:ilvl w:val="0"/>
          <w:numId w:val="3"/>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Pr>
          <w:rFonts w:ascii="Times New Roman" w:hAnsi="Times New Roman" w:cs="Times New Roman"/>
          <w:b/>
          <w:bCs/>
          <w:color w:val="000000" w:themeColor="text1"/>
          <w:sz w:val="28"/>
          <w:szCs w:val="28"/>
          <w:lang w:val="es-CO"/>
        </w:rPr>
        <w:t xml:space="preserve">Reiteración del Auto 191 de 2025, sobre </w:t>
      </w:r>
      <w:r w:rsidR="00C02197">
        <w:rPr>
          <w:rFonts w:ascii="Times New Roman" w:hAnsi="Times New Roman" w:cs="Times New Roman"/>
          <w:b/>
          <w:bCs/>
          <w:color w:val="000000" w:themeColor="text1"/>
          <w:sz w:val="28"/>
          <w:szCs w:val="28"/>
          <w:lang w:val="es-CO"/>
        </w:rPr>
        <w:t>el análisis de i</w:t>
      </w:r>
      <w:r w:rsidR="00C02197" w:rsidRPr="00C02197">
        <w:rPr>
          <w:rFonts w:ascii="Times New Roman" w:hAnsi="Times New Roman" w:cs="Times New Roman"/>
          <w:b/>
          <w:bCs/>
          <w:color w:val="000000" w:themeColor="text1"/>
          <w:sz w:val="28"/>
          <w:szCs w:val="28"/>
          <w:lang w:val="es-CO"/>
        </w:rPr>
        <w:t>mpedimento</w:t>
      </w:r>
      <w:r w:rsidR="00C02197">
        <w:rPr>
          <w:rFonts w:ascii="Times New Roman" w:hAnsi="Times New Roman" w:cs="Times New Roman"/>
          <w:b/>
          <w:bCs/>
          <w:color w:val="000000" w:themeColor="text1"/>
          <w:sz w:val="28"/>
          <w:szCs w:val="28"/>
          <w:lang w:val="es-CO"/>
        </w:rPr>
        <w:t xml:space="preserve">s manifestados por </w:t>
      </w:r>
      <w:r w:rsidR="00C02197" w:rsidRPr="00C02197">
        <w:rPr>
          <w:rFonts w:ascii="Times New Roman" w:hAnsi="Times New Roman" w:cs="Times New Roman"/>
          <w:b/>
          <w:bCs/>
          <w:color w:val="000000" w:themeColor="text1"/>
          <w:sz w:val="28"/>
          <w:szCs w:val="28"/>
          <w:lang w:val="es-CO"/>
        </w:rPr>
        <w:t xml:space="preserve">el </w:t>
      </w:r>
      <w:r w:rsidR="00945BDC">
        <w:rPr>
          <w:rFonts w:ascii="Times New Roman" w:hAnsi="Times New Roman" w:cs="Times New Roman"/>
          <w:b/>
          <w:bCs/>
          <w:color w:val="000000" w:themeColor="text1"/>
          <w:sz w:val="28"/>
          <w:szCs w:val="28"/>
          <w:lang w:val="es-CO"/>
        </w:rPr>
        <w:t>p</w:t>
      </w:r>
      <w:r w:rsidR="00C02197" w:rsidRPr="00C02197">
        <w:rPr>
          <w:rFonts w:ascii="Times New Roman" w:hAnsi="Times New Roman" w:cs="Times New Roman"/>
          <w:b/>
          <w:bCs/>
          <w:color w:val="000000" w:themeColor="text1"/>
          <w:sz w:val="28"/>
          <w:szCs w:val="28"/>
          <w:lang w:val="es-CO"/>
        </w:rPr>
        <w:t xml:space="preserve">rocurador </w:t>
      </w:r>
      <w:r w:rsidR="00945BDC">
        <w:rPr>
          <w:rFonts w:ascii="Times New Roman" w:hAnsi="Times New Roman" w:cs="Times New Roman"/>
          <w:b/>
          <w:bCs/>
          <w:color w:val="000000" w:themeColor="text1"/>
          <w:sz w:val="28"/>
          <w:szCs w:val="28"/>
          <w:lang w:val="es-CO"/>
        </w:rPr>
        <w:t>g</w:t>
      </w:r>
      <w:r w:rsidR="00C02197" w:rsidRPr="00C02197">
        <w:rPr>
          <w:rFonts w:ascii="Times New Roman" w:hAnsi="Times New Roman" w:cs="Times New Roman"/>
          <w:b/>
          <w:bCs/>
          <w:color w:val="000000" w:themeColor="text1"/>
          <w:sz w:val="28"/>
          <w:szCs w:val="28"/>
          <w:lang w:val="es-CO"/>
        </w:rPr>
        <w:t xml:space="preserve">eneral en el </w:t>
      </w:r>
      <w:r w:rsidR="00C02197">
        <w:rPr>
          <w:rFonts w:ascii="Times New Roman" w:hAnsi="Times New Roman" w:cs="Times New Roman"/>
          <w:b/>
          <w:bCs/>
          <w:color w:val="000000" w:themeColor="text1"/>
          <w:sz w:val="28"/>
          <w:szCs w:val="28"/>
          <w:lang w:val="es-CO"/>
        </w:rPr>
        <w:t>c</w:t>
      </w:r>
      <w:r w:rsidR="00C02197" w:rsidRPr="00C02197">
        <w:rPr>
          <w:rFonts w:ascii="Times New Roman" w:hAnsi="Times New Roman" w:cs="Times New Roman"/>
          <w:b/>
          <w:bCs/>
          <w:color w:val="000000" w:themeColor="text1"/>
          <w:sz w:val="28"/>
          <w:szCs w:val="28"/>
          <w:lang w:val="es-CO"/>
        </w:rPr>
        <w:t xml:space="preserve">ontrol de </w:t>
      </w:r>
      <w:r w:rsidR="00C02197">
        <w:rPr>
          <w:rFonts w:ascii="Times New Roman" w:hAnsi="Times New Roman" w:cs="Times New Roman"/>
          <w:b/>
          <w:bCs/>
          <w:color w:val="000000" w:themeColor="text1"/>
          <w:sz w:val="28"/>
          <w:szCs w:val="28"/>
          <w:lang w:val="es-CO"/>
        </w:rPr>
        <w:t>c</w:t>
      </w:r>
      <w:r w:rsidR="00C02197" w:rsidRPr="00C02197">
        <w:rPr>
          <w:rFonts w:ascii="Times New Roman" w:hAnsi="Times New Roman" w:cs="Times New Roman"/>
          <w:b/>
          <w:bCs/>
          <w:color w:val="000000" w:themeColor="text1"/>
          <w:sz w:val="28"/>
          <w:szCs w:val="28"/>
          <w:lang w:val="es-CO"/>
        </w:rPr>
        <w:t>onstitucionalidad</w:t>
      </w:r>
      <w:r w:rsidR="00C02197">
        <w:rPr>
          <w:rFonts w:ascii="Times New Roman" w:hAnsi="Times New Roman" w:cs="Times New Roman"/>
          <w:b/>
          <w:bCs/>
          <w:color w:val="000000" w:themeColor="text1"/>
          <w:sz w:val="28"/>
          <w:szCs w:val="28"/>
          <w:lang w:val="es-CO"/>
        </w:rPr>
        <w:t xml:space="preserve">, </w:t>
      </w:r>
      <w:r w:rsidR="00C02197" w:rsidRPr="00C02197">
        <w:rPr>
          <w:rFonts w:ascii="Times New Roman" w:hAnsi="Times New Roman" w:cs="Times New Roman"/>
          <w:b/>
          <w:bCs/>
          <w:color w:val="000000" w:themeColor="text1"/>
          <w:sz w:val="28"/>
          <w:szCs w:val="28"/>
          <w:lang w:val="es-CO"/>
        </w:rPr>
        <w:t xml:space="preserve">por </w:t>
      </w:r>
      <w:r w:rsidR="00C02197">
        <w:rPr>
          <w:rFonts w:ascii="Times New Roman" w:hAnsi="Times New Roman" w:cs="Times New Roman"/>
          <w:b/>
          <w:bCs/>
          <w:color w:val="000000" w:themeColor="text1"/>
          <w:sz w:val="28"/>
          <w:szCs w:val="28"/>
          <w:lang w:val="es-CO"/>
        </w:rPr>
        <w:t xml:space="preserve">haber participado previamente </w:t>
      </w:r>
      <w:r w:rsidR="00C02197" w:rsidRPr="00C02197">
        <w:rPr>
          <w:rFonts w:ascii="Times New Roman" w:hAnsi="Times New Roman" w:cs="Times New Roman"/>
          <w:b/>
          <w:bCs/>
          <w:color w:val="000000" w:themeColor="text1"/>
          <w:sz w:val="28"/>
          <w:szCs w:val="28"/>
          <w:lang w:val="es-CO"/>
        </w:rPr>
        <w:t xml:space="preserve">en la </w:t>
      </w:r>
      <w:r w:rsidR="00C02197">
        <w:rPr>
          <w:rFonts w:ascii="Times New Roman" w:hAnsi="Times New Roman" w:cs="Times New Roman"/>
          <w:b/>
          <w:bCs/>
          <w:color w:val="000000" w:themeColor="text1"/>
          <w:sz w:val="28"/>
          <w:szCs w:val="28"/>
          <w:lang w:val="es-CO"/>
        </w:rPr>
        <w:t>e</w:t>
      </w:r>
      <w:r w:rsidR="00C02197" w:rsidRPr="00C02197">
        <w:rPr>
          <w:rFonts w:ascii="Times New Roman" w:hAnsi="Times New Roman" w:cs="Times New Roman"/>
          <w:b/>
          <w:bCs/>
          <w:color w:val="000000" w:themeColor="text1"/>
          <w:sz w:val="28"/>
          <w:szCs w:val="28"/>
          <w:lang w:val="es-CO"/>
        </w:rPr>
        <w:t xml:space="preserve">xpedición de </w:t>
      </w:r>
      <w:r w:rsidR="00C02197">
        <w:rPr>
          <w:rFonts w:ascii="Times New Roman" w:hAnsi="Times New Roman" w:cs="Times New Roman"/>
          <w:b/>
          <w:bCs/>
          <w:color w:val="000000" w:themeColor="text1"/>
          <w:sz w:val="28"/>
          <w:szCs w:val="28"/>
          <w:lang w:val="es-CO"/>
        </w:rPr>
        <w:t>n</w:t>
      </w:r>
      <w:r w:rsidR="00C02197" w:rsidRPr="00C02197">
        <w:rPr>
          <w:rFonts w:ascii="Times New Roman" w:hAnsi="Times New Roman" w:cs="Times New Roman"/>
          <w:b/>
          <w:bCs/>
          <w:color w:val="000000" w:themeColor="text1"/>
          <w:sz w:val="28"/>
          <w:szCs w:val="28"/>
          <w:lang w:val="es-CO"/>
        </w:rPr>
        <w:t>ormas</w:t>
      </w:r>
      <w:r w:rsidR="00C02197">
        <w:rPr>
          <w:rFonts w:ascii="Times New Roman" w:hAnsi="Times New Roman" w:cs="Times New Roman"/>
          <w:b/>
          <w:bCs/>
          <w:color w:val="000000" w:themeColor="text1"/>
          <w:sz w:val="28"/>
          <w:szCs w:val="28"/>
          <w:lang w:val="es-CO"/>
        </w:rPr>
        <w:t xml:space="preserve">, </w:t>
      </w:r>
      <w:r w:rsidR="00C02197" w:rsidRPr="00C02197">
        <w:rPr>
          <w:rFonts w:ascii="Times New Roman" w:hAnsi="Times New Roman" w:cs="Times New Roman"/>
          <w:b/>
          <w:bCs/>
          <w:color w:val="000000" w:themeColor="text1"/>
          <w:sz w:val="28"/>
          <w:szCs w:val="28"/>
          <w:lang w:val="es-CO"/>
        </w:rPr>
        <w:t xml:space="preserve">como </w:t>
      </w:r>
      <w:r w:rsidR="00945BDC">
        <w:rPr>
          <w:rFonts w:ascii="Times New Roman" w:hAnsi="Times New Roman" w:cs="Times New Roman"/>
          <w:b/>
          <w:bCs/>
          <w:color w:val="000000" w:themeColor="text1"/>
          <w:sz w:val="28"/>
          <w:szCs w:val="28"/>
          <w:lang w:val="es-CO"/>
        </w:rPr>
        <w:t>s</w:t>
      </w:r>
      <w:r w:rsidR="00C02197" w:rsidRPr="00C02197">
        <w:rPr>
          <w:rFonts w:ascii="Times New Roman" w:hAnsi="Times New Roman" w:cs="Times New Roman"/>
          <w:b/>
          <w:bCs/>
          <w:color w:val="000000" w:themeColor="text1"/>
          <w:sz w:val="28"/>
          <w:szCs w:val="28"/>
          <w:lang w:val="es-CO"/>
        </w:rPr>
        <w:t xml:space="preserve">ecretario </w:t>
      </w:r>
      <w:r w:rsidR="00945BDC">
        <w:rPr>
          <w:rFonts w:ascii="Times New Roman" w:hAnsi="Times New Roman" w:cs="Times New Roman"/>
          <w:b/>
          <w:bCs/>
          <w:color w:val="000000" w:themeColor="text1"/>
          <w:sz w:val="28"/>
          <w:szCs w:val="28"/>
          <w:lang w:val="es-CO"/>
        </w:rPr>
        <w:t>g</w:t>
      </w:r>
      <w:r w:rsidR="00C02197" w:rsidRPr="00C02197">
        <w:rPr>
          <w:rFonts w:ascii="Times New Roman" w:hAnsi="Times New Roman" w:cs="Times New Roman"/>
          <w:b/>
          <w:bCs/>
          <w:color w:val="000000" w:themeColor="text1"/>
          <w:sz w:val="28"/>
          <w:szCs w:val="28"/>
          <w:lang w:val="es-CO"/>
        </w:rPr>
        <w:t>eneral del Senado</w:t>
      </w:r>
      <w:r w:rsidR="00C02197">
        <w:rPr>
          <w:rFonts w:ascii="Times New Roman" w:hAnsi="Times New Roman" w:cs="Times New Roman"/>
          <w:b/>
          <w:bCs/>
          <w:color w:val="000000" w:themeColor="text1"/>
          <w:sz w:val="28"/>
          <w:szCs w:val="28"/>
          <w:lang w:val="es-CO"/>
        </w:rPr>
        <w:t xml:space="preserve"> de la República</w:t>
      </w:r>
    </w:p>
    <w:p w14:paraId="10E0818A" w14:textId="1828D396" w:rsidR="00C02197" w:rsidRDefault="00C02197" w:rsidP="00C02197">
      <w:pPr>
        <w:tabs>
          <w:tab w:val="left" w:pos="567"/>
        </w:tabs>
        <w:overflowPunct w:val="0"/>
        <w:autoSpaceDE w:val="0"/>
        <w:autoSpaceDN w:val="0"/>
        <w:adjustRightInd w:val="0"/>
        <w:spacing w:after="0" w:line="240" w:lineRule="auto"/>
        <w:ind w:right="103"/>
        <w:jc w:val="both"/>
        <w:textAlignment w:val="baseline"/>
        <w:rPr>
          <w:rFonts w:ascii="Times New Roman" w:hAnsi="Times New Roman" w:cs="Times New Roman"/>
          <w:b/>
          <w:bCs/>
          <w:color w:val="000000" w:themeColor="text1"/>
          <w:sz w:val="28"/>
          <w:szCs w:val="28"/>
          <w:lang w:val="es-CO"/>
        </w:rPr>
      </w:pPr>
    </w:p>
    <w:p w14:paraId="4255BE07" w14:textId="2737779C" w:rsidR="00C02197" w:rsidRPr="00C02197" w:rsidRDefault="00C02197" w:rsidP="00C02197">
      <w:pPr>
        <w:pStyle w:val="Prrafodelista"/>
        <w:numPr>
          <w:ilvl w:val="0"/>
          <w:numId w:val="2"/>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sidRPr="00C02197">
        <w:rPr>
          <w:rFonts w:ascii="Times New Roman" w:hAnsi="Times New Roman" w:cs="Times New Roman"/>
          <w:color w:val="000000" w:themeColor="text1"/>
          <w:sz w:val="28"/>
          <w:szCs w:val="28"/>
          <w:lang w:val="es-CO"/>
        </w:rPr>
        <w:t xml:space="preserve">En el </w:t>
      </w:r>
      <w:r>
        <w:rPr>
          <w:rFonts w:ascii="Times New Roman" w:hAnsi="Times New Roman" w:cs="Times New Roman"/>
          <w:color w:val="000000" w:themeColor="text1"/>
          <w:sz w:val="28"/>
          <w:szCs w:val="28"/>
          <w:lang w:val="es-CO"/>
        </w:rPr>
        <w:t xml:space="preserve">reciente </w:t>
      </w:r>
      <w:r w:rsidRPr="00C02197">
        <w:rPr>
          <w:rFonts w:ascii="Times New Roman" w:hAnsi="Times New Roman" w:cs="Times New Roman"/>
          <w:color w:val="000000" w:themeColor="text1"/>
          <w:sz w:val="28"/>
          <w:szCs w:val="28"/>
          <w:lang w:val="es-CO"/>
        </w:rPr>
        <w:t xml:space="preserve">Auto 191 de 2025, la Corte Constitucional </w:t>
      </w:r>
      <w:r w:rsidR="006B62C4">
        <w:rPr>
          <w:rFonts w:ascii="Times New Roman" w:hAnsi="Times New Roman" w:cs="Times New Roman"/>
          <w:color w:val="000000" w:themeColor="text1"/>
          <w:sz w:val="28"/>
          <w:szCs w:val="28"/>
          <w:lang w:val="es-CO"/>
        </w:rPr>
        <w:t xml:space="preserve">resolvió </w:t>
      </w:r>
      <w:r>
        <w:rPr>
          <w:rFonts w:ascii="Times New Roman" w:hAnsi="Times New Roman" w:cs="Times New Roman"/>
          <w:color w:val="000000" w:themeColor="text1"/>
          <w:sz w:val="28"/>
          <w:szCs w:val="28"/>
          <w:lang w:val="es-CO"/>
        </w:rPr>
        <w:t xml:space="preserve">una manifestación de </w:t>
      </w:r>
      <w:r w:rsidRPr="00C02197">
        <w:rPr>
          <w:rFonts w:ascii="Times New Roman" w:hAnsi="Times New Roman" w:cs="Times New Roman"/>
          <w:color w:val="000000" w:themeColor="text1"/>
          <w:sz w:val="28"/>
          <w:szCs w:val="28"/>
          <w:lang w:val="es-CO"/>
        </w:rPr>
        <w:t xml:space="preserve">impedimento </w:t>
      </w:r>
      <w:r>
        <w:rPr>
          <w:rFonts w:ascii="Times New Roman" w:hAnsi="Times New Roman" w:cs="Times New Roman"/>
          <w:color w:val="000000" w:themeColor="text1"/>
          <w:sz w:val="28"/>
          <w:szCs w:val="28"/>
          <w:lang w:val="es-CO"/>
        </w:rPr>
        <w:t xml:space="preserve">formulada </w:t>
      </w:r>
      <w:r w:rsidRPr="00C02197">
        <w:rPr>
          <w:rFonts w:ascii="Times New Roman" w:hAnsi="Times New Roman" w:cs="Times New Roman"/>
          <w:color w:val="000000" w:themeColor="text1"/>
          <w:sz w:val="28"/>
          <w:szCs w:val="28"/>
          <w:lang w:val="es-CO"/>
        </w:rPr>
        <w:t xml:space="preserve">por el Procurador General de la Nación bajo el argumento de haber intervenido en la expedición de la norma objeto de control constitucional, específicamente en su calidad de Secretario General del Senado de la República. </w:t>
      </w:r>
    </w:p>
    <w:p w14:paraId="22FE479F" w14:textId="77777777" w:rsidR="00C02197" w:rsidRPr="00C02197" w:rsidRDefault="00C02197" w:rsidP="00C02197">
      <w:pPr>
        <w:pStyle w:val="Prrafodelista"/>
        <w:tabs>
          <w:tab w:val="left" w:pos="567"/>
        </w:tabs>
        <w:overflowPunct w:val="0"/>
        <w:autoSpaceDE w:val="0"/>
        <w:autoSpaceDN w:val="0"/>
        <w:adjustRightInd w:val="0"/>
        <w:spacing w:after="0" w:line="240" w:lineRule="auto"/>
        <w:ind w:left="0" w:right="103"/>
        <w:jc w:val="both"/>
        <w:textAlignment w:val="baseline"/>
        <w:rPr>
          <w:rFonts w:ascii="Times New Roman" w:hAnsi="Times New Roman" w:cs="Times New Roman"/>
          <w:b/>
          <w:bCs/>
          <w:color w:val="000000" w:themeColor="text1"/>
          <w:sz w:val="28"/>
          <w:szCs w:val="28"/>
          <w:lang w:val="es-CO"/>
        </w:rPr>
      </w:pPr>
    </w:p>
    <w:p w14:paraId="23852015" w14:textId="4C3357F9" w:rsidR="00C02197" w:rsidRPr="00C02197" w:rsidRDefault="00C02197" w:rsidP="00C02197">
      <w:pPr>
        <w:pStyle w:val="Prrafodelista"/>
        <w:numPr>
          <w:ilvl w:val="0"/>
          <w:numId w:val="2"/>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sidRPr="00C02197">
        <w:rPr>
          <w:rFonts w:ascii="Times New Roman" w:hAnsi="Times New Roman" w:cs="Times New Roman"/>
          <w:color w:val="000000" w:themeColor="text1"/>
          <w:sz w:val="28"/>
          <w:szCs w:val="28"/>
          <w:lang w:val="es-CO"/>
        </w:rPr>
        <w:t xml:space="preserve">En dicho </w:t>
      </w:r>
      <w:r w:rsidR="00171BE3">
        <w:rPr>
          <w:rFonts w:ascii="Times New Roman" w:hAnsi="Times New Roman" w:cs="Times New Roman"/>
          <w:color w:val="000000" w:themeColor="text1"/>
          <w:sz w:val="28"/>
          <w:szCs w:val="28"/>
          <w:lang w:val="es-CO"/>
        </w:rPr>
        <w:t>A</w:t>
      </w:r>
      <w:r w:rsidRPr="00C02197">
        <w:rPr>
          <w:rFonts w:ascii="Times New Roman" w:hAnsi="Times New Roman" w:cs="Times New Roman"/>
          <w:color w:val="000000" w:themeColor="text1"/>
          <w:sz w:val="28"/>
          <w:szCs w:val="28"/>
          <w:lang w:val="es-CO"/>
        </w:rPr>
        <w:t>uto, la Corte reiteró que la causal de impedimento consistente en “haber intervenido en la expedición de la norma objeto de control”</w:t>
      </w:r>
      <w:r w:rsidR="00171BE3">
        <w:rPr>
          <w:rFonts w:ascii="Times New Roman" w:hAnsi="Times New Roman" w:cs="Times New Roman"/>
          <w:color w:val="000000" w:themeColor="text1"/>
          <w:sz w:val="28"/>
          <w:szCs w:val="28"/>
          <w:lang w:val="es-CO"/>
        </w:rPr>
        <w:t>, contemplada en el artículo 25 del Decreto 2067 de 1991,</w:t>
      </w:r>
      <w:r w:rsidRPr="00C02197">
        <w:rPr>
          <w:rFonts w:ascii="Times New Roman" w:hAnsi="Times New Roman" w:cs="Times New Roman"/>
          <w:color w:val="000000" w:themeColor="text1"/>
          <w:sz w:val="28"/>
          <w:szCs w:val="28"/>
          <w:lang w:val="es-CO"/>
        </w:rPr>
        <w:t xml:space="preserve"> tiene un carácter eminentemente objetivo, lo cual implica que no se requiere analizar la intención o la motivación del funcionario, </w:t>
      </w:r>
      <w:r w:rsidR="00171BE3">
        <w:rPr>
          <w:rFonts w:ascii="Times New Roman" w:hAnsi="Times New Roman" w:cs="Times New Roman"/>
          <w:color w:val="000000" w:themeColor="text1"/>
          <w:sz w:val="28"/>
          <w:szCs w:val="28"/>
          <w:lang w:val="es-CO"/>
        </w:rPr>
        <w:t xml:space="preserve">pero sí </w:t>
      </w:r>
      <w:r w:rsidRPr="00C02197">
        <w:rPr>
          <w:rFonts w:ascii="Times New Roman" w:hAnsi="Times New Roman" w:cs="Times New Roman"/>
          <w:color w:val="000000" w:themeColor="text1"/>
          <w:sz w:val="28"/>
          <w:szCs w:val="28"/>
          <w:lang w:val="es-CO"/>
        </w:rPr>
        <w:t xml:space="preserve">verificar la existencia de un hecho concreto: </w:t>
      </w:r>
      <w:r w:rsidRPr="00C02197">
        <w:rPr>
          <w:rFonts w:ascii="Times New Roman" w:hAnsi="Times New Roman" w:cs="Times New Roman"/>
          <w:i/>
          <w:iCs/>
          <w:color w:val="000000" w:themeColor="text1"/>
          <w:sz w:val="28"/>
          <w:szCs w:val="28"/>
          <w:lang w:val="es-CO"/>
        </w:rPr>
        <w:t xml:space="preserve">la participación activa y determinante </w:t>
      </w:r>
      <w:r w:rsidRPr="00C02197">
        <w:rPr>
          <w:rFonts w:ascii="Times New Roman" w:hAnsi="Times New Roman" w:cs="Times New Roman"/>
          <w:color w:val="000000" w:themeColor="text1"/>
          <w:sz w:val="28"/>
          <w:szCs w:val="28"/>
          <w:lang w:val="es-CO"/>
        </w:rPr>
        <w:t xml:space="preserve">en el proceso de formación de la norma sometida a control. Este enfoque responde a la necesidad de proteger la imparcialidad y probidad exigidas al </w:t>
      </w:r>
      <w:r w:rsidR="00945BDC">
        <w:rPr>
          <w:rFonts w:ascii="Times New Roman" w:hAnsi="Times New Roman" w:cs="Times New Roman"/>
          <w:color w:val="000000" w:themeColor="text1"/>
          <w:sz w:val="28"/>
          <w:szCs w:val="28"/>
          <w:lang w:val="es-CO"/>
        </w:rPr>
        <w:t>p</w:t>
      </w:r>
      <w:r w:rsidRPr="00C02197">
        <w:rPr>
          <w:rFonts w:ascii="Times New Roman" w:hAnsi="Times New Roman" w:cs="Times New Roman"/>
          <w:color w:val="000000" w:themeColor="text1"/>
          <w:sz w:val="28"/>
          <w:szCs w:val="28"/>
          <w:lang w:val="es-CO"/>
        </w:rPr>
        <w:t xml:space="preserve">rocurador </w:t>
      </w:r>
      <w:r w:rsidR="00945BDC">
        <w:rPr>
          <w:rFonts w:ascii="Times New Roman" w:hAnsi="Times New Roman" w:cs="Times New Roman"/>
          <w:color w:val="000000" w:themeColor="text1"/>
          <w:sz w:val="28"/>
          <w:szCs w:val="28"/>
          <w:lang w:val="es-CO"/>
        </w:rPr>
        <w:t>g</w:t>
      </w:r>
      <w:r w:rsidRPr="00C02197">
        <w:rPr>
          <w:rFonts w:ascii="Times New Roman" w:hAnsi="Times New Roman" w:cs="Times New Roman"/>
          <w:color w:val="000000" w:themeColor="text1"/>
          <w:sz w:val="28"/>
          <w:szCs w:val="28"/>
          <w:lang w:val="es-CO"/>
        </w:rPr>
        <w:t>eneral en el ejercicio de sus funciones constitucionales, en particular, en la rendición de concepto en los procesos de control abstracto de constitucionalidad.</w:t>
      </w:r>
    </w:p>
    <w:p w14:paraId="452C9CEC" w14:textId="77777777" w:rsidR="00C02197" w:rsidRPr="00C02197" w:rsidRDefault="00C02197" w:rsidP="00C02197">
      <w:pPr>
        <w:pStyle w:val="Prrafodelista"/>
        <w:rPr>
          <w:rFonts w:ascii="Times New Roman" w:hAnsi="Times New Roman" w:cs="Times New Roman"/>
          <w:color w:val="000000" w:themeColor="text1"/>
          <w:sz w:val="28"/>
          <w:szCs w:val="28"/>
          <w:lang w:val="es-CO"/>
        </w:rPr>
      </w:pPr>
    </w:p>
    <w:p w14:paraId="0BFD2AA7" w14:textId="545F5D99" w:rsidR="00C02197" w:rsidRPr="00C02197" w:rsidRDefault="00C02197" w:rsidP="00C02197">
      <w:pPr>
        <w:pStyle w:val="Prrafodelista"/>
        <w:numPr>
          <w:ilvl w:val="0"/>
          <w:numId w:val="2"/>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Pr>
          <w:rFonts w:ascii="Times New Roman" w:hAnsi="Times New Roman" w:cs="Times New Roman"/>
          <w:color w:val="000000" w:themeColor="text1"/>
          <w:sz w:val="28"/>
          <w:szCs w:val="28"/>
          <w:lang w:val="es-CO"/>
        </w:rPr>
        <w:t xml:space="preserve">Como fundamento, se indicó que el </w:t>
      </w:r>
      <w:r w:rsidRPr="00C02197">
        <w:rPr>
          <w:rFonts w:ascii="Times New Roman" w:hAnsi="Times New Roman" w:cs="Times New Roman"/>
          <w:color w:val="000000" w:themeColor="text1"/>
          <w:sz w:val="28"/>
          <w:szCs w:val="28"/>
          <w:lang w:val="es-CO"/>
        </w:rPr>
        <w:t xml:space="preserve">artículo 278 de la Constitución Política asigna al </w:t>
      </w:r>
      <w:r w:rsidR="00945BDC">
        <w:rPr>
          <w:rFonts w:ascii="Times New Roman" w:hAnsi="Times New Roman" w:cs="Times New Roman"/>
          <w:color w:val="000000" w:themeColor="text1"/>
          <w:sz w:val="28"/>
          <w:szCs w:val="28"/>
          <w:lang w:val="es-CO"/>
        </w:rPr>
        <w:t>p</w:t>
      </w:r>
      <w:r w:rsidRPr="00C02197">
        <w:rPr>
          <w:rFonts w:ascii="Times New Roman" w:hAnsi="Times New Roman" w:cs="Times New Roman"/>
          <w:color w:val="000000" w:themeColor="text1"/>
          <w:sz w:val="28"/>
          <w:szCs w:val="28"/>
          <w:lang w:val="es-CO"/>
        </w:rPr>
        <w:t xml:space="preserve">rocurador </w:t>
      </w:r>
      <w:r w:rsidR="00945BDC">
        <w:rPr>
          <w:rFonts w:ascii="Times New Roman" w:hAnsi="Times New Roman" w:cs="Times New Roman"/>
          <w:color w:val="000000" w:themeColor="text1"/>
          <w:sz w:val="28"/>
          <w:szCs w:val="28"/>
          <w:lang w:val="es-CO"/>
        </w:rPr>
        <w:t>g</w:t>
      </w:r>
      <w:r w:rsidRPr="00C02197">
        <w:rPr>
          <w:rFonts w:ascii="Times New Roman" w:hAnsi="Times New Roman" w:cs="Times New Roman"/>
          <w:color w:val="000000" w:themeColor="text1"/>
          <w:sz w:val="28"/>
          <w:szCs w:val="28"/>
          <w:lang w:val="es-CO"/>
        </w:rPr>
        <w:t xml:space="preserve">eneral de la </w:t>
      </w:r>
      <w:r w:rsidR="00945BDC">
        <w:rPr>
          <w:rFonts w:ascii="Times New Roman" w:hAnsi="Times New Roman" w:cs="Times New Roman"/>
          <w:color w:val="000000" w:themeColor="text1"/>
          <w:sz w:val="28"/>
          <w:szCs w:val="28"/>
          <w:lang w:val="es-CO"/>
        </w:rPr>
        <w:t>n</w:t>
      </w:r>
      <w:r w:rsidRPr="00C02197">
        <w:rPr>
          <w:rFonts w:ascii="Times New Roman" w:hAnsi="Times New Roman" w:cs="Times New Roman"/>
          <w:color w:val="000000" w:themeColor="text1"/>
          <w:sz w:val="28"/>
          <w:szCs w:val="28"/>
          <w:lang w:val="es-CO"/>
        </w:rPr>
        <w:t xml:space="preserve">ación la función de rendir concepto en los procesos de constitucionalidad. </w:t>
      </w:r>
      <w:r w:rsidR="00171BE3">
        <w:rPr>
          <w:rFonts w:ascii="Times New Roman" w:hAnsi="Times New Roman" w:cs="Times New Roman"/>
          <w:color w:val="000000" w:themeColor="text1"/>
          <w:sz w:val="28"/>
          <w:szCs w:val="28"/>
          <w:lang w:val="es-CO"/>
        </w:rPr>
        <w:t>Labor que</w:t>
      </w:r>
      <w:r w:rsidRPr="00C02197">
        <w:rPr>
          <w:rFonts w:ascii="Times New Roman" w:hAnsi="Times New Roman" w:cs="Times New Roman"/>
          <w:color w:val="000000" w:themeColor="text1"/>
          <w:sz w:val="28"/>
          <w:szCs w:val="28"/>
          <w:lang w:val="es-CO"/>
        </w:rPr>
        <w:t xml:space="preserve"> exige del </w:t>
      </w:r>
      <w:r w:rsidR="00171BE3">
        <w:rPr>
          <w:rFonts w:ascii="Times New Roman" w:hAnsi="Times New Roman" w:cs="Times New Roman"/>
          <w:color w:val="000000" w:themeColor="text1"/>
          <w:sz w:val="28"/>
          <w:szCs w:val="28"/>
          <w:lang w:val="es-CO"/>
        </w:rPr>
        <w:t xml:space="preserve">funcionario </w:t>
      </w:r>
      <w:r w:rsidRPr="00C02197">
        <w:rPr>
          <w:rFonts w:ascii="Times New Roman" w:hAnsi="Times New Roman" w:cs="Times New Roman"/>
          <w:color w:val="000000" w:themeColor="text1"/>
          <w:sz w:val="28"/>
          <w:szCs w:val="28"/>
          <w:lang w:val="es-CO"/>
        </w:rPr>
        <w:t xml:space="preserve">imparcialidad y objetividad, dado que su función no se limita a brindar una opinión jurídica, sino que representa la posición oficial del Ministerio Público en defensa del orden jurídico y del interés general. En consecuencia, </w:t>
      </w:r>
      <w:r>
        <w:rPr>
          <w:rFonts w:ascii="Times New Roman" w:hAnsi="Times New Roman" w:cs="Times New Roman"/>
          <w:color w:val="000000" w:themeColor="text1"/>
          <w:sz w:val="28"/>
          <w:szCs w:val="28"/>
          <w:lang w:val="es-CO"/>
        </w:rPr>
        <w:t xml:space="preserve">la </w:t>
      </w:r>
      <w:r w:rsidRPr="00C02197">
        <w:rPr>
          <w:rFonts w:ascii="Times New Roman" w:hAnsi="Times New Roman" w:cs="Times New Roman"/>
          <w:color w:val="000000" w:themeColor="text1"/>
          <w:sz w:val="28"/>
          <w:szCs w:val="28"/>
          <w:lang w:val="es-CO"/>
        </w:rPr>
        <w:t>actuación previa que comprometa su independencia afecta sustancialmente su deber constitucional.</w:t>
      </w:r>
    </w:p>
    <w:p w14:paraId="0A5A0BA8" w14:textId="77777777" w:rsidR="00C02197" w:rsidRPr="00C02197" w:rsidRDefault="00C02197" w:rsidP="00C02197">
      <w:pPr>
        <w:pStyle w:val="Prrafodelista"/>
        <w:rPr>
          <w:rFonts w:ascii="Times New Roman" w:hAnsi="Times New Roman" w:cs="Times New Roman"/>
          <w:color w:val="000000" w:themeColor="text1"/>
          <w:sz w:val="28"/>
          <w:szCs w:val="28"/>
          <w:lang w:val="es-CO"/>
        </w:rPr>
      </w:pPr>
    </w:p>
    <w:p w14:paraId="38E23385" w14:textId="77777777" w:rsidR="0005545E" w:rsidRPr="0005545E" w:rsidRDefault="0005545E" w:rsidP="0005545E">
      <w:pPr>
        <w:pStyle w:val="Prrafodelista"/>
        <w:numPr>
          <w:ilvl w:val="0"/>
          <w:numId w:val="2"/>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sidRPr="0005545E">
        <w:rPr>
          <w:rFonts w:ascii="Times New Roman" w:hAnsi="Times New Roman" w:cs="Times New Roman"/>
          <w:color w:val="000000" w:themeColor="text1"/>
          <w:sz w:val="28"/>
          <w:szCs w:val="28"/>
          <w:lang w:val="es-CO"/>
        </w:rPr>
        <w:t>A partir de estas consideraciones, el Auto 191 de 2025 fijó unos criterios que permiten establecer si las actuaciones previas del Procurador General de la Nación como secretario general del Congreso de la República pueden incidir en su imparcialidad y objetividad. Dichos criterios son</w:t>
      </w:r>
      <w:r w:rsidRPr="0005545E">
        <w:rPr>
          <w:rStyle w:val="Refdenotaalpie"/>
          <w:rFonts w:ascii="Times New Roman" w:hAnsi="Times New Roman" w:cs="Times New Roman"/>
          <w:color w:val="000000" w:themeColor="text1"/>
          <w:sz w:val="28"/>
          <w:szCs w:val="28"/>
          <w:lang w:val="es-CO"/>
        </w:rPr>
        <w:footnoteReference w:id="13"/>
      </w:r>
      <w:r w:rsidRPr="0005545E">
        <w:rPr>
          <w:rFonts w:ascii="Times New Roman" w:hAnsi="Times New Roman" w:cs="Times New Roman"/>
          <w:color w:val="000000" w:themeColor="text1"/>
          <w:sz w:val="28"/>
          <w:szCs w:val="28"/>
          <w:lang w:val="es-CO"/>
        </w:rPr>
        <w:t xml:space="preserve">: </w:t>
      </w:r>
      <w:r w:rsidRPr="0005545E">
        <w:rPr>
          <w:rFonts w:ascii="Times New Roman" w:hAnsi="Times New Roman" w:cs="Times New Roman"/>
          <w:color w:val="000000" w:themeColor="text1"/>
          <w:sz w:val="28"/>
          <w:szCs w:val="28"/>
        </w:rPr>
        <w:t>“(i) las funciones propias del empleo de secretario general del Senado y la verificación de que la intervención alegada guarde relación con esas funciones; (ii) la naturaleza del procedimiento de constitucionalidad, es decir, si se trata de un proceso de control automático e integral o de una demanda de inconstitucionalidad; (iii) el tipo de cargo planteado en la demanda, esto es, si se alega la configuración de un vicio de procedimiento o de fondo; y (iv) el alcance, la relevancia e incluso el momento en que tuvo lugar la intervención de la autoridad concernida en el trámite legislativo, de cara al asunto que debe resolver la Corte”.</w:t>
      </w:r>
    </w:p>
    <w:p w14:paraId="58DF4231" w14:textId="77777777" w:rsidR="0005545E" w:rsidRPr="0005545E" w:rsidRDefault="0005545E" w:rsidP="0005545E">
      <w:pPr>
        <w:pStyle w:val="Prrafodelista"/>
        <w:rPr>
          <w:rFonts w:ascii="Times New Roman" w:hAnsi="Times New Roman" w:cs="Times New Roman"/>
          <w:b/>
          <w:bCs/>
          <w:color w:val="000000" w:themeColor="text1"/>
          <w:sz w:val="28"/>
          <w:szCs w:val="28"/>
          <w:lang w:val="es-CO"/>
        </w:rPr>
      </w:pPr>
    </w:p>
    <w:p w14:paraId="07FB3995" w14:textId="77777777" w:rsidR="0005545E" w:rsidRPr="0005545E" w:rsidRDefault="0005545E" w:rsidP="0005545E">
      <w:pPr>
        <w:pStyle w:val="Prrafodelista"/>
        <w:numPr>
          <w:ilvl w:val="0"/>
          <w:numId w:val="2"/>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sidRPr="0005545E">
        <w:rPr>
          <w:rFonts w:ascii="Times New Roman" w:hAnsi="Times New Roman" w:cs="Times New Roman"/>
          <w:color w:val="000000" w:themeColor="text1"/>
          <w:sz w:val="28"/>
          <w:szCs w:val="28"/>
          <w:lang w:val="es-CO"/>
        </w:rPr>
        <w:t>La aplicación de estos criterios debe tener en cuenta, además, el tipo de control que ejerce la Corte sobre una norma específica. Así, “</w:t>
      </w:r>
      <w:r w:rsidRPr="0005545E">
        <w:rPr>
          <w:rFonts w:ascii="Times New Roman" w:hAnsi="Times New Roman" w:cs="Times New Roman"/>
          <w:color w:val="000000" w:themeColor="text1"/>
          <w:sz w:val="28"/>
          <w:szCs w:val="28"/>
        </w:rPr>
        <w:t>(i) cuando se trata de procesos en los que la Corte tiene competencia para revisar de forma rogada, oficiosa e integral los aspectos formales del trámite legislativo, en principio, el impedimento formulado por la causal objeto de estudio, por el ahora PGN, resultaría fundado; en contraste, (ii) cuando el objeto de la demanda es sustancial o material e implica cargos de inconstitucionalidad de fondo, “dada la naturaleza del estudio que adelanta la Sala, en principio, el impedimento no sería fundado. No obstante, esto no significa que, en este supuesto, el impedimento nunca esté llamado a prosperar. Lo que supone es que el Procurador General de la Nación deberá demostrar dos elementos: (1) que su intervención en la expedición de la norma fue activa y determinante y (2) que dicha intervención guarda relación con el asunto que debe resolver la Corte”</w:t>
      </w:r>
      <w:r w:rsidRPr="0005545E">
        <w:rPr>
          <w:rStyle w:val="Refdenotaalpie"/>
          <w:rFonts w:ascii="Times New Roman" w:hAnsi="Times New Roman" w:cs="Times New Roman"/>
          <w:color w:val="000000" w:themeColor="text1"/>
          <w:sz w:val="28"/>
          <w:szCs w:val="28"/>
        </w:rPr>
        <w:footnoteReference w:id="14"/>
      </w:r>
      <w:r w:rsidRPr="0005545E">
        <w:rPr>
          <w:rFonts w:ascii="Times New Roman" w:hAnsi="Times New Roman" w:cs="Times New Roman"/>
          <w:color w:val="000000" w:themeColor="text1"/>
          <w:sz w:val="28"/>
          <w:szCs w:val="28"/>
        </w:rPr>
        <w:t>.</w:t>
      </w:r>
    </w:p>
    <w:p w14:paraId="2D0BCDC8" w14:textId="77777777" w:rsidR="0005545E" w:rsidRPr="0005545E" w:rsidRDefault="0005545E" w:rsidP="0005545E">
      <w:pPr>
        <w:pStyle w:val="Prrafodelista"/>
        <w:rPr>
          <w:rFonts w:ascii="Times New Roman" w:hAnsi="Times New Roman" w:cs="Times New Roman"/>
          <w:color w:val="000000" w:themeColor="text1"/>
          <w:sz w:val="28"/>
          <w:szCs w:val="28"/>
          <w:lang w:val="es-CO"/>
        </w:rPr>
      </w:pPr>
    </w:p>
    <w:p w14:paraId="5D0336B9" w14:textId="7BA7E308" w:rsidR="00C02197" w:rsidRPr="00C02197" w:rsidRDefault="00171BE3" w:rsidP="00C02197">
      <w:pPr>
        <w:pStyle w:val="Prrafodelista"/>
        <w:numPr>
          <w:ilvl w:val="0"/>
          <w:numId w:val="2"/>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Pr>
          <w:rFonts w:ascii="Times New Roman" w:hAnsi="Times New Roman" w:cs="Times New Roman"/>
          <w:color w:val="000000" w:themeColor="text1"/>
          <w:sz w:val="28"/>
          <w:szCs w:val="28"/>
          <w:lang w:val="es-CO"/>
        </w:rPr>
        <w:t xml:space="preserve">Bajo estas consideraciones, al analizar </w:t>
      </w:r>
      <w:r w:rsidR="00C02197" w:rsidRPr="00C02197">
        <w:rPr>
          <w:rFonts w:ascii="Times New Roman" w:hAnsi="Times New Roman" w:cs="Times New Roman"/>
          <w:color w:val="000000" w:themeColor="text1"/>
          <w:sz w:val="28"/>
          <w:szCs w:val="28"/>
          <w:lang w:val="es-CO"/>
        </w:rPr>
        <w:t xml:space="preserve">el caso, la Corte constató que el </w:t>
      </w:r>
      <w:r w:rsidR="00945BDC">
        <w:rPr>
          <w:rFonts w:ascii="Times New Roman" w:hAnsi="Times New Roman" w:cs="Times New Roman"/>
          <w:color w:val="000000" w:themeColor="text1"/>
          <w:sz w:val="28"/>
          <w:szCs w:val="28"/>
          <w:lang w:val="es-CO"/>
        </w:rPr>
        <w:t>p</w:t>
      </w:r>
      <w:r w:rsidR="00C02197" w:rsidRPr="00C02197">
        <w:rPr>
          <w:rFonts w:ascii="Times New Roman" w:hAnsi="Times New Roman" w:cs="Times New Roman"/>
          <w:color w:val="000000" w:themeColor="text1"/>
          <w:sz w:val="28"/>
          <w:szCs w:val="28"/>
          <w:lang w:val="es-CO"/>
        </w:rPr>
        <w:t xml:space="preserve">rocurador </w:t>
      </w:r>
      <w:r w:rsidR="00945BDC">
        <w:rPr>
          <w:rFonts w:ascii="Times New Roman" w:hAnsi="Times New Roman" w:cs="Times New Roman"/>
          <w:color w:val="000000" w:themeColor="text1"/>
          <w:sz w:val="28"/>
          <w:szCs w:val="28"/>
          <w:lang w:val="es-CO"/>
        </w:rPr>
        <w:t>g</w:t>
      </w:r>
      <w:r w:rsidR="00C02197" w:rsidRPr="00C02197">
        <w:rPr>
          <w:rFonts w:ascii="Times New Roman" w:hAnsi="Times New Roman" w:cs="Times New Roman"/>
          <w:color w:val="000000" w:themeColor="text1"/>
          <w:sz w:val="28"/>
          <w:szCs w:val="28"/>
          <w:lang w:val="es-CO"/>
        </w:rPr>
        <w:t xml:space="preserve">eneral, en su condición de </w:t>
      </w:r>
      <w:r w:rsidR="00945BDC">
        <w:rPr>
          <w:rFonts w:ascii="Times New Roman" w:hAnsi="Times New Roman" w:cs="Times New Roman"/>
          <w:color w:val="000000" w:themeColor="text1"/>
          <w:sz w:val="28"/>
          <w:szCs w:val="28"/>
          <w:lang w:val="es-CO"/>
        </w:rPr>
        <w:t>s</w:t>
      </w:r>
      <w:r w:rsidR="00C02197" w:rsidRPr="00C02197">
        <w:rPr>
          <w:rFonts w:ascii="Times New Roman" w:hAnsi="Times New Roman" w:cs="Times New Roman"/>
          <w:color w:val="000000" w:themeColor="text1"/>
          <w:sz w:val="28"/>
          <w:szCs w:val="28"/>
          <w:lang w:val="es-CO"/>
        </w:rPr>
        <w:t xml:space="preserve">ecretario </w:t>
      </w:r>
      <w:r w:rsidR="00945BDC">
        <w:rPr>
          <w:rFonts w:ascii="Times New Roman" w:hAnsi="Times New Roman" w:cs="Times New Roman"/>
          <w:color w:val="000000" w:themeColor="text1"/>
          <w:sz w:val="28"/>
          <w:szCs w:val="28"/>
          <w:lang w:val="es-CO"/>
        </w:rPr>
        <w:t>g</w:t>
      </w:r>
      <w:r w:rsidR="00C02197" w:rsidRPr="00C02197">
        <w:rPr>
          <w:rFonts w:ascii="Times New Roman" w:hAnsi="Times New Roman" w:cs="Times New Roman"/>
          <w:color w:val="000000" w:themeColor="text1"/>
          <w:sz w:val="28"/>
          <w:szCs w:val="28"/>
          <w:lang w:val="es-CO"/>
        </w:rPr>
        <w:t xml:space="preserve">eneral del Senado, tuvo una participación activa y determinante en el trámite legislativo de la norma objeto de control. Específicamente, el </w:t>
      </w:r>
      <w:r>
        <w:rPr>
          <w:rFonts w:ascii="Times New Roman" w:hAnsi="Times New Roman" w:cs="Times New Roman"/>
          <w:color w:val="000000" w:themeColor="text1"/>
          <w:sz w:val="28"/>
          <w:szCs w:val="28"/>
          <w:lang w:val="es-CO"/>
        </w:rPr>
        <w:t>funcionario</w:t>
      </w:r>
      <w:r w:rsidR="00C02197" w:rsidRPr="00C02197">
        <w:rPr>
          <w:rFonts w:ascii="Times New Roman" w:hAnsi="Times New Roman" w:cs="Times New Roman"/>
          <w:color w:val="000000" w:themeColor="text1"/>
          <w:sz w:val="28"/>
          <w:szCs w:val="28"/>
          <w:lang w:val="es-CO"/>
        </w:rPr>
        <w:t xml:space="preserve"> realizó las siguientes actuaciones: radicación y reparto del proyecto de ley, publicación en la Gaceta del Congreso, inclusión en el orden del día, anuncio en los debates, verificación de quórum y votaciones, asesoría a congresistas sobre temas de constitucionalidad del proyecto y firma del cuerpo legal junto con el presidente del Senado, certificando la autenticidad y fidelidad del texto aprobado por el Congreso. Estas actuaciones no fueron meramente formales o administrativas, sino que incidieron de manera directa en el trámite y, por ende, en la configuración final de la norma.</w:t>
      </w:r>
    </w:p>
    <w:p w14:paraId="5F573D8F" w14:textId="77777777" w:rsidR="00C02197" w:rsidRPr="00C02197" w:rsidRDefault="00C02197" w:rsidP="00C02197">
      <w:pPr>
        <w:pStyle w:val="Prrafodelista"/>
        <w:rPr>
          <w:rFonts w:ascii="Times New Roman" w:hAnsi="Times New Roman" w:cs="Times New Roman"/>
          <w:color w:val="000000" w:themeColor="text1"/>
          <w:sz w:val="28"/>
          <w:szCs w:val="28"/>
          <w:lang w:val="es-CO"/>
        </w:rPr>
      </w:pPr>
    </w:p>
    <w:p w14:paraId="2AB47367" w14:textId="6F4879FB" w:rsidR="006B62C4" w:rsidRPr="006B62C4" w:rsidRDefault="00C02197" w:rsidP="00C02197">
      <w:pPr>
        <w:pStyle w:val="Prrafodelista"/>
        <w:numPr>
          <w:ilvl w:val="0"/>
          <w:numId w:val="2"/>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sidRPr="00C02197">
        <w:rPr>
          <w:rFonts w:ascii="Times New Roman" w:hAnsi="Times New Roman" w:cs="Times New Roman"/>
          <w:color w:val="000000" w:themeColor="text1"/>
          <w:sz w:val="28"/>
          <w:szCs w:val="28"/>
          <w:lang w:val="es-CO"/>
        </w:rPr>
        <w:t xml:space="preserve">La Corte se centró, así, en </w:t>
      </w:r>
      <w:r w:rsidR="00171BE3">
        <w:rPr>
          <w:rFonts w:ascii="Times New Roman" w:hAnsi="Times New Roman" w:cs="Times New Roman"/>
          <w:color w:val="000000" w:themeColor="text1"/>
          <w:sz w:val="28"/>
          <w:szCs w:val="28"/>
          <w:lang w:val="es-CO"/>
        </w:rPr>
        <w:t>determina</w:t>
      </w:r>
      <w:r w:rsidRPr="00C02197">
        <w:rPr>
          <w:rFonts w:ascii="Times New Roman" w:hAnsi="Times New Roman" w:cs="Times New Roman"/>
          <w:color w:val="000000" w:themeColor="text1"/>
          <w:sz w:val="28"/>
          <w:szCs w:val="28"/>
          <w:lang w:val="es-CO"/>
        </w:rPr>
        <w:t>r si dichas actuaciones eran propias del cumplimiento de las funciones administrativas del cargo de Secretario General del Senado o si</w:t>
      </w:r>
      <w:r w:rsidR="00171BE3">
        <w:rPr>
          <w:rFonts w:ascii="Times New Roman" w:hAnsi="Times New Roman" w:cs="Times New Roman"/>
          <w:color w:val="000000" w:themeColor="text1"/>
          <w:sz w:val="28"/>
          <w:szCs w:val="28"/>
          <w:lang w:val="es-CO"/>
        </w:rPr>
        <w:t>, por el contrario,</w:t>
      </w:r>
      <w:r w:rsidRPr="00C02197">
        <w:rPr>
          <w:rFonts w:ascii="Times New Roman" w:hAnsi="Times New Roman" w:cs="Times New Roman"/>
          <w:color w:val="000000" w:themeColor="text1"/>
          <w:sz w:val="28"/>
          <w:szCs w:val="28"/>
          <w:lang w:val="es-CO"/>
        </w:rPr>
        <w:t xml:space="preserve"> configuraban una </w:t>
      </w:r>
      <w:r w:rsidRPr="00C02197">
        <w:rPr>
          <w:rFonts w:ascii="Times New Roman" w:hAnsi="Times New Roman" w:cs="Times New Roman"/>
          <w:i/>
          <w:iCs/>
          <w:color w:val="000000" w:themeColor="text1"/>
          <w:sz w:val="28"/>
          <w:szCs w:val="28"/>
          <w:lang w:val="es-CO"/>
        </w:rPr>
        <w:t xml:space="preserve">intervención activa </w:t>
      </w:r>
      <w:r w:rsidRPr="00C02197">
        <w:rPr>
          <w:rFonts w:ascii="Times New Roman" w:hAnsi="Times New Roman" w:cs="Times New Roman"/>
          <w:i/>
          <w:iCs/>
          <w:color w:val="000000" w:themeColor="text1"/>
          <w:sz w:val="28"/>
          <w:szCs w:val="28"/>
          <w:lang w:val="es-CO"/>
        </w:rPr>
        <w:lastRenderedPageBreak/>
        <w:t>y determinante</w:t>
      </w:r>
      <w:r w:rsidRPr="00C02197">
        <w:rPr>
          <w:rFonts w:ascii="Times New Roman" w:hAnsi="Times New Roman" w:cs="Times New Roman"/>
          <w:color w:val="000000" w:themeColor="text1"/>
          <w:sz w:val="28"/>
          <w:szCs w:val="28"/>
          <w:lang w:val="es-CO"/>
        </w:rPr>
        <w:t xml:space="preserve"> en la expedición de la norma. Para ello, recordó que el Procurador General no puede limitarse a cumplir de manera protocolaria sus funciones, sino que debe garantizar la imparcialidad y objetividad en su rol de garante del orden constitucional. </w:t>
      </w:r>
    </w:p>
    <w:p w14:paraId="67BC131A" w14:textId="77777777" w:rsidR="006B62C4" w:rsidRPr="006B62C4" w:rsidRDefault="006B62C4" w:rsidP="006B62C4">
      <w:pPr>
        <w:pStyle w:val="Prrafodelista"/>
        <w:rPr>
          <w:rFonts w:ascii="Times New Roman" w:hAnsi="Times New Roman" w:cs="Times New Roman"/>
          <w:color w:val="000000" w:themeColor="text1"/>
          <w:sz w:val="28"/>
          <w:szCs w:val="28"/>
          <w:lang w:val="es-CO"/>
        </w:rPr>
      </w:pPr>
    </w:p>
    <w:p w14:paraId="63C45D3E" w14:textId="4F8AE772" w:rsidR="00C02197" w:rsidRPr="006B62C4" w:rsidRDefault="006B62C4" w:rsidP="006B62C4">
      <w:pPr>
        <w:pStyle w:val="Prrafodelista"/>
        <w:numPr>
          <w:ilvl w:val="0"/>
          <w:numId w:val="2"/>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Pr>
          <w:rFonts w:ascii="Times New Roman" w:hAnsi="Times New Roman" w:cs="Times New Roman"/>
          <w:color w:val="000000" w:themeColor="text1"/>
          <w:sz w:val="28"/>
          <w:szCs w:val="28"/>
          <w:lang w:val="es-CO"/>
        </w:rPr>
        <w:t>En esa medida, la Sala encontró</w:t>
      </w:r>
      <w:r w:rsidR="00171BE3">
        <w:rPr>
          <w:rFonts w:ascii="Times New Roman" w:hAnsi="Times New Roman" w:cs="Times New Roman"/>
          <w:color w:val="000000" w:themeColor="text1"/>
          <w:sz w:val="28"/>
          <w:szCs w:val="28"/>
          <w:lang w:val="es-CO"/>
        </w:rPr>
        <w:t xml:space="preserve">, por un lado, </w:t>
      </w:r>
      <w:r>
        <w:rPr>
          <w:rFonts w:ascii="Times New Roman" w:hAnsi="Times New Roman" w:cs="Times New Roman"/>
          <w:color w:val="000000" w:themeColor="text1"/>
          <w:sz w:val="28"/>
          <w:szCs w:val="28"/>
          <w:lang w:val="es-CO"/>
        </w:rPr>
        <w:t xml:space="preserve">que </w:t>
      </w:r>
      <w:r w:rsidR="00C02197" w:rsidRPr="00C02197">
        <w:rPr>
          <w:rFonts w:ascii="Times New Roman" w:hAnsi="Times New Roman" w:cs="Times New Roman"/>
          <w:color w:val="000000" w:themeColor="text1"/>
          <w:sz w:val="28"/>
          <w:szCs w:val="28"/>
          <w:lang w:val="es-CO"/>
        </w:rPr>
        <w:t xml:space="preserve">la asesoría brindada por el </w:t>
      </w:r>
      <w:r w:rsidR="00945BDC">
        <w:rPr>
          <w:rFonts w:ascii="Times New Roman" w:hAnsi="Times New Roman" w:cs="Times New Roman"/>
          <w:color w:val="000000" w:themeColor="text1"/>
          <w:sz w:val="28"/>
          <w:szCs w:val="28"/>
          <w:lang w:val="es-CO"/>
        </w:rPr>
        <w:t>p</w:t>
      </w:r>
      <w:r w:rsidR="00C02197" w:rsidRPr="00C02197">
        <w:rPr>
          <w:rFonts w:ascii="Times New Roman" w:hAnsi="Times New Roman" w:cs="Times New Roman"/>
          <w:color w:val="000000" w:themeColor="text1"/>
          <w:sz w:val="28"/>
          <w:szCs w:val="28"/>
          <w:lang w:val="es-CO"/>
        </w:rPr>
        <w:t>rocurador a los congresistas sobre asuntos de constitucionalidad del proyecto de ley y su participación directa en la certificación de la autenticidad del texto aprobado fueron factores decisivos en el trámite legislativo, comprometiendo su imparcialidad en la etapa posterior de control constitucional.</w:t>
      </w:r>
      <w:r>
        <w:rPr>
          <w:rFonts w:ascii="Times New Roman" w:hAnsi="Times New Roman" w:cs="Times New Roman"/>
          <w:color w:val="000000" w:themeColor="text1"/>
          <w:sz w:val="28"/>
          <w:szCs w:val="28"/>
          <w:lang w:val="es-CO"/>
        </w:rPr>
        <w:t xml:space="preserve"> </w:t>
      </w:r>
      <w:r w:rsidR="00171BE3">
        <w:rPr>
          <w:rFonts w:ascii="Times New Roman" w:hAnsi="Times New Roman" w:cs="Times New Roman"/>
          <w:color w:val="000000" w:themeColor="text1"/>
          <w:sz w:val="28"/>
          <w:szCs w:val="28"/>
          <w:lang w:val="es-CO"/>
        </w:rPr>
        <w:t>Por otro lado, a</w:t>
      </w:r>
      <w:r w:rsidRPr="00C02197">
        <w:rPr>
          <w:rFonts w:ascii="Times New Roman" w:hAnsi="Times New Roman" w:cs="Times New Roman"/>
          <w:color w:val="000000" w:themeColor="text1"/>
          <w:sz w:val="28"/>
          <w:szCs w:val="28"/>
          <w:lang w:val="es-CO"/>
        </w:rPr>
        <w:t>l desempeñar estas funciones, el Procurador no solo garantizó la validez formal del trámite legislativo, sino que también influyó en la comprensión y decisión de los congresistas sobre la constitucionalidad del proyecto de ley, lo cual afecta</w:t>
      </w:r>
      <w:r>
        <w:rPr>
          <w:rFonts w:ascii="Times New Roman" w:hAnsi="Times New Roman" w:cs="Times New Roman"/>
          <w:color w:val="000000" w:themeColor="text1"/>
          <w:sz w:val="28"/>
          <w:szCs w:val="28"/>
          <w:lang w:val="es-CO"/>
        </w:rPr>
        <w:t>ba</w:t>
      </w:r>
      <w:r w:rsidRPr="00C02197">
        <w:rPr>
          <w:rFonts w:ascii="Times New Roman" w:hAnsi="Times New Roman" w:cs="Times New Roman"/>
          <w:color w:val="000000" w:themeColor="text1"/>
          <w:sz w:val="28"/>
          <w:szCs w:val="28"/>
          <w:lang w:val="es-CO"/>
        </w:rPr>
        <w:t xml:space="preserve"> su independencia para emitir un concepto imparcial</w:t>
      </w:r>
      <w:r>
        <w:rPr>
          <w:rFonts w:ascii="Times New Roman" w:hAnsi="Times New Roman" w:cs="Times New Roman"/>
          <w:color w:val="000000" w:themeColor="text1"/>
          <w:sz w:val="28"/>
          <w:szCs w:val="28"/>
          <w:lang w:val="es-CO"/>
        </w:rPr>
        <w:t xml:space="preserve">. </w:t>
      </w:r>
    </w:p>
    <w:p w14:paraId="7F3A0C14" w14:textId="77777777" w:rsidR="00C02197" w:rsidRPr="00C02197" w:rsidRDefault="00C02197" w:rsidP="00C02197">
      <w:pPr>
        <w:pStyle w:val="Prrafodelista"/>
        <w:rPr>
          <w:rFonts w:ascii="Times New Roman" w:hAnsi="Times New Roman" w:cs="Times New Roman"/>
          <w:color w:val="000000" w:themeColor="text1"/>
          <w:sz w:val="28"/>
          <w:szCs w:val="28"/>
          <w:lang w:val="es-CO"/>
        </w:rPr>
      </w:pPr>
    </w:p>
    <w:p w14:paraId="683D6E9C" w14:textId="77777777" w:rsidR="006B62C4" w:rsidRPr="006B62C4" w:rsidRDefault="006B62C4" w:rsidP="00C02197">
      <w:pPr>
        <w:pStyle w:val="Prrafodelista"/>
        <w:numPr>
          <w:ilvl w:val="0"/>
          <w:numId w:val="2"/>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Pr>
          <w:rFonts w:ascii="Times New Roman" w:hAnsi="Times New Roman" w:cs="Times New Roman"/>
          <w:color w:val="000000" w:themeColor="text1"/>
          <w:sz w:val="28"/>
          <w:szCs w:val="28"/>
          <w:lang w:val="es-CO"/>
        </w:rPr>
        <w:t xml:space="preserve">Así, la Sala </w:t>
      </w:r>
      <w:r w:rsidR="00C02197" w:rsidRPr="00C02197">
        <w:rPr>
          <w:rFonts w:ascii="Times New Roman" w:hAnsi="Times New Roman" w:cs="Times New Roman"/>
          <w:color w:val="000000" w:themeColor="text1"/>
          <w:sz w:val="28"/>
          <w:szCs w:val="28"/>
          <w:lang w:val="es-CO"/>
        </w:rPr>
        <w:t xml:space="preserve">hizo hincapié en que el análisis sobre la configuración de la causal de impedimento debe centrarse en determinar si la participación del funcionario en el trámite legislativo fue activa y determinante, es decir, si influyó de manera sustancial en el proceso de formación de la norma. Esta interpretación se aparta de considerar únicamente el cumplimiento de funciones formales o administrativas, </w:t>
      </w:r>
      <w:r>
        <w:rPr>
          <w:rFonts w:ascii="Times New Roman" w:hAnsi="Times New Roman" w:cs="Times New Roman"/>
          <w:color w:val="000000" w:themeColor="text1"/>
          <w:sz w:val="28"/>
          <w:szCs w:val="28"/>
          <w:lang w:val="es-CO"/>
        </w:rPr>
        <w:t xml:space="preserve">pues </w:t>
      </w:r>
      <w:r w:rsidR="00C02197" w:rsidRPr="00C02197">
        <w:rPr>
          <w:rFonts w:ascii="Times New Roman" w:hAnsi="Times New Roman" w:cs="Times New Roman"/>
          <w:color w:val="000000" w:themeColor="text1"/>
          <w:sz w:val="28"/>
          <w:szCs w:val="28"/>
          <w:lang w:val="es-CO"/>
        </w:rPr>
        <w:t>toma en cuenta el impacto efectivo de las actuaciones del funcionario en el desarrollo y aprobación de la ley.</w:t>
      </w:r>
    </w:p>
    <w:p w14:paraId="17C95468" w14:textId="77777777" w:rsidR="006B62C4" w:rsidRPr="006B62C4" w:rsidRDefault="006B62C4" w:rsidP="006B62C4">
      <w:pPr>
        <w:pStyle w:val="Prrafodelista"/>
        <w:rPr>
          <w:rFonts w:ascii="Times New Roman" w:hAnsi="Times New Roman" w:cs="Times New Roman"/>
          <w:color w:val="000000" w:themeColor="text1"/>
          <w:sz w:val="28"/>
          <w:szCs w:val="28"/>
          <w:lang w:val="es-CO"/>
        </w:rPr>
      </w:pPr>
    </w:p>
    <w:p w14:paraId="39D414A5" w14:textId="4132D3F7" w:rsidR="00C02197" w:rsidRPr="006B62C4" w:rsidRDefault="006B62C4" w:rsidP="00C02197">
      <w:pPr>
        <w:pStyle w:val="Prrafodelista"/>
        <w:numPr>
          <w:ilvl w:val="0"/>
          <w:numId w:val="2"/>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Pr>
          <w:rFonts w:ascii="Times New Roman" w:hAnsi="Times New Roman" w:cs="Times New Roman"/>
          <w:color w:val="000000" w:themeColor="text1"/>
          <w:sz w:val="28"/>
          <w:szCs w:val="28"/>
          <w:lang w:val="es-CO"/>
        </w:rPr>
        <w:t>De este modo, l</w:t>
      </w:r>
      <w:r w:rsidR="00C02197" w:rsidRPr="006B62C4">
        <w:rPr>
          <w:rFonts w:ascii="Times New Roman" w:hAnsi="Times New Roman" w:cs="Times New Roman"/>
          <w:color w:val="000000" w:themeColor="text1"/>
          <w:sz w:val="28"/>
          <w:szCs w:val="28"/>
          <w:lang w:val="es-CO"/>
        </w:rPr>
        <w:t>a Corte estableció</w:t>
      </w:r>
      <w:r>
        <w:rPr>
          <w:rFonts w:ascii="Times New Roman" w:hAnsi="Times New Roman" w:cs="Times New Roman"/>
          <w:color w:val="000000" w:themeColor="text1"/>
          <w:sz w:val="28"/>
          <w:szCs w:val="28"/>
          <w:lang w:val="es-CO"/>
        </w:rPr>
        <w:t xml:space="preserve"> </w:t>
      </w:r>
      <w:r w:rsidR="00C02197" w:rsidRPr="006B62C4">
        <w:rPr>
          <w:rFonts w:ascii="Times New Roman" w:hAnsi="Times New Roman" w:cs="Times New Roman"/>
          <w:color w:val="000000" w:themeColor="text1"/>
          <w:sz w:val="28"/>
          <w:szCs w:val="28"/>
          <w:lang w:val="es-CO"/>
        </w:rPr>
        <w:t>una regla de decisión clara:</w:t>
      </w:r>
      <w:r>
        <w:rPr>
          <w:rFonts w:ascii="Times New Roman" w:hAnsi="Times New Roman" w:cs="Times New Roman"/>
          <w:color w:val="000000" w:themeColor="text1"/>
          <w:sz w:val="28"/>
          <w:szCs w:val="28"/>
          <w:lang w:val="es-CO"/>
        </w:rPr>
        <w:t xml:space="preserve"> en estos casos, </w:t>
      </w:r>
      <w:r w:rsidR="00C02197" w:rsidRPr="006B62C4">
        <w:rPr>
          <w:rFonts w:ascii="Times New Roman" w:hAnsi="Times New Roman" w:cs="Times New Roman"/>
          <w:color w:val="000000" w:themeColor="text1"/>
          <w:sz w:val="28"/>
          <w:szCs w:val="28"/>
          <w:lang w:val="es-CO"/>
        </w:rPr>
        <w:t xml:space="preserve">la causal de impedimento consistente en haber intervenido en la expedición de la norma objeto de control se configura cuando la participación en el trámite legislativo es activa y determinante, es decir, cuando el funcionario no se limita a cumplir funciones formales o administrativas, sino que incide directamente en la formación de la norma. Asimismo, la imparcialidad del </w:t>
      </w:r>
      <w:r w:rsidR="00945BDC">
        <w:rPr>
          <w:rFonts w:ascii="Times New Roman" w:hAnsi="Times New Roman" w:cs="Times New Roman"/>
          <w:color w:val="000000" w:themeColor="text1"/>
          <w:sz w:val="28"/>
          <w:szCs w:val="28"/>
          <w:lang w:val="es-CO"/>
        </w:rPr>
        <w:t>p</w:t>
      </w:r>
      <w:r w:rsidR="00C02197" w:rsidRPr="006B62C4">
        <w:rPr>
          <w:rFonts w:ascii="Times New Roman" w:hAnsi="Times New Roman" w:cs="Times New Roman"/>
          <w:color w:val="000000" w:themeColor="text1"/>
          <w:sz w:val="28"/>
          <w:szCs w:val="28"/>
          <w:lang w:val="es-CO"/>
        </w:rPr>
        <w:t xml:space="preserve">rocurador </w:t>
      </w:r>
      <w:r w:rsidR="00945BDC">
        <w:rPr>
          <w:rFonts w:ascii="Times New Roman" w:hAnsi="Times New Roman" w:cs="Times New Roman"/>
          <w:color w:val="000000" w:themeColor="text1"/>
          <w:sz w:val="28"/>
          <w:szCs w:val="28"/>
          <w:lang w:val="es-CO"/>
        </w:rPr>
        <w:t>g</w:t>
      </w:r>
      <w:r w:rsidR="00C02197" w:rsidRPr="006B62C4">
        <w:rPr>
          <w:rFonts w:ascii="Times New Roman" w:hAnsi="Times New Roman" w:cs="Times New Roman"/>
          <w:color w:val="000000" w:themeColor="text1"/>
          <w:sz w:val="28"/>
          <w:szCs w:val="28"/>
          <w:lang w:val="es-CO"/>
        </w:rPr>
        <w:t>eneral se ve comprometida cuando, en ejercicio de sus funciones previas, asesora o influye en la formación de la norma objeto de control</w:t>
      </w:r>
      <w:r>
        <w:rPr>
          <w:rFonts w:ascii="Times New Roman" w:hAnsi="Times New Roman" w:cs="Times New Roman"/>
          <w:color w:val="000000" w:themeColor="text1"/>
          <w:sz w:val="28"/>
          <w:szCs w:val="28"/>
          <w:lang w:val="es-CO"/>
        </w:rPr>
        <w:t xml:space="preserve">. </w:t>
      </w:r>
    </w:p>
    <w:p w14:paraId="31130675" w14:textId="77777777" w:rsidR="005E0738" w:rsidRDefault="005E0738" w:rsidP="005E0738">
      <w:pPr>
        <w:pStyle w:val="Prrafodelista"/>
        <w:tabs>
          <w:tab w:val="left" w:pos="567"/>
        </w:tabs>
        <w:overflowPunct w:val="0"/>
        <w:autoSpaceDE w:val="0"/>
        <w:autoSpaceDN w:val="0"/>
        <w:adjustRightInd w:val="0"/>
        <w:spacing w:after="0" w:line="240" w:lineRule="auto"/>
        <w:ind w:right="103"/>
        <w:jc w:val="both"/>
        <w:textAlignment w:val="baseline"/>
        <w:rPr>
          <w:rFonts w:ascii="Times New Roman" w:hAnsi="Times New Roman" w:cs="Times New Roman"/>
          <w:b/>
          <w:bCs/>
          <w:color w:val="000000" w:themeColor="text1"/>
          <w:sz w:val="28"/>
          <w:szCs w:val="28"/>
          <w:lang w:val="es-CO"/>
        </w:rPr>
      </w:pPr>
    </w:p>
    <w:p w14:paraId="72A3E1E0" w14:textId="419A4BC5" w:rsidR="00FC02EB" w:rsidRPr="005E0738" w:rsidRDefault="00FC02EB" w:rsidP="006B62C4">
      <w:pPr>
        <w:pStyle w:val="Prrafodelista"/>
        <w:numPr>
          <w:ilvl w:val="0"/>
          <w:numId w:val="3"/>
        </w:numPr>
        <w:tabs>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b/>
          <w:bCs/>
          <w:color w:val="000000" w:themeColor="text1"/>
          <w:sz w:val="28"/>
          <w:szCs w:val="28"/>
          <w:lang w:val="es-CO"/>
        </w:rPr>
      </w:pPr>
      <w:r w:rsidRPr="005E0738">
        <w:rPr>
          <w:rFonts w:ascii="Times New Roman" w:hAnsi="Times New Roman" w:cs="Times New Roman"/>
          <w:b/>
          <w:bCs/>
          <w:color w:val="000000" w:themeColor="text1"/>
          <w:sz w:val="28"/>
          <w:szCs w:val="28"/>
          <w:lang w:val="es-CO"/>
        </w:rPr>
        <w:t xml:space="preserve">Análisis del impedimento presentado por el </w:t>
      </w:r>
      <w:r w:rsidR="00945BDC">
        <w:rPr>
          <w:rFonts w:ascii="Times New Roman" w:hAnsi="Times New Roman" w:cs="Times New Roman"/>
          <w:b/>
          <w:bCs/>
          <w:color w:val="000000" w:themeColor="text1"/>
          <w:sz w:val="28"/>
          <w:szCs w:val="28"/>
          <w:lang w:val="es-CO"/>
        </w:rPr>
        <w:t>p</w:t>
      </w:r>
      <w:r w:rsidRPr="005E0738">
        <w:rPr>
          <w:rFonts w:ascii="Times New Roman" w:hAnsi="Times New Roman" w:cs="Times New Roman"/>
          <w:b/>
          <w:bCs/>
          <w:color w:val="000000" w:themeColor="text1"/>
          <w:sz w:val="28"/>
          <w:szCs w:val="28"/>
          <w:lang w:val="es-CO"/>
        </w:rPr>
        <w:t xml:space="preserve">rocurador </w:t>
      </w:r>
      <w:r w:rsidR="00945BDC">
        <w:rPr>
          <w:rFonts w:ascii="Times New Roman" w:hAnsi="Times New Roman" w:cs="Times New Roman"/>
          <w:b/>
          <w:bCs/>
          <w:color w:val="000000" w:themeColor="text1"/>
          <w:sz w:val="28"/>
          <w:szCs w:val="28"/>
          <w:lang w:val="es-CO"/>
        </w:rPr>
        <w:t>g</w:t>
      </w:r>
      <w:r w:rsidRPr="005E0738">
        <w:rPr>
          <w:rFonts w:ascii="Times New Roman" w:hAnsi="Times New Roman" w:cs="Times New Roman"/>
          <w:b/>
          <w:bCs/>
          <w:color w:val="000000" w:themeColor="text1"/>
          <w:sz w:val="28"/>
          <w:szCs w:val="28"/>
          <w:lang w:val="es-CO"/>
        </w:rPr>
        <w:t xml:space="preserve">eneral de la </w:t>
      </w:r>
      <w:r w:rsidR="00945BDC">
        <w:rPr>
          <w:rFonts w:ascii="Times New Roman" w:hAnsi="Times New Roman" w:cs="Times New Roman"/>
          <w:b/>
          <w:bCs/>
          <w:color w:val="000000" w:themeColor="text1"/>
          <w:sz w:val="28"/>
          <w:szCs w:val="28"/>
          <w:lang w:val="es-CO"/>
        </w:rPr>
        <w:t>n</w:t>
      </w:r>
      <w:r w:rsidRPr="005E0738">
        <w:rPr>
          <w:rFonts w:ascii="Times New Roman" w:hAnsi="Times New Roman" w:cs="Times New Roman"/>
          <w:b/>
          <w:bCs/>
          <w:color w:val="000000" w:themeColor="text1"/>
          <w:sz w:val="28"/>
          <w:szCs w:val="28"/>
          <w:lang w:val="es-CO"/>
        </w:rPr>
        <w:t>ación para rendir concepto en el proceso LAT-50</w:t>
      </w:r>
      <w:r w:rsidR="00381345" w:rsidRPr="005E0738">
        <w:rPr>
          <w:rFonts w:ascii="Times New Roman" w:hAnsi="Times New Roman" w:cs="Times New Roman"/>
          <w:b/>
          <w:bCs/>
          <w:color w:val="000000" w:themeColor="text1"/>
          <w:sz w:val="28"/>
          <w:szCs w:val="28"/>
          <w:lang w:val="es-CO"/>
        </w:rPr>
        <w:t>0</w:t>
      </w:r>
    </w:p>
    <w:p w14:paraId="141D5613" w14:textId="77777777" w:rsidR="00FC02EB" w:rsidRPr="00ED72FB" w:rsidRDefault="00FC02EB" w:rsidP="00FC02EB">
      <w:pPr>
        <w:tabs>
          <w:tab w:val="left" w:pos="567"/>
        </w:tabs>
        <w:overflowPunct w:val="0"/>
        <w:autoSpaceDE w:val="0"/>
        <w:autoSpaceDN w:val="0"/>
        <w:adjustRightInd w:val="0"/>
        <w:spacing w:after="0" w:line="240" w:lineRule="auto"/>
        <w:ind w:right="103"/>
        <w:jc w:val="both"/>
        <w:textAlignment w:val="baseline"/>
        <w:rPr>
          <w:rFonts w:ascii="Times New Roman" w:hAnsi="Times New Roman" w:cs="Times New Roman"/>
          <w:color w:val="000000" w:themeColor="text1"/>
          <w:sz w:val="28"/>
          <w:szCs w:val="28"/>
          <w:lang w:val="es-CO"/>
        </w:rPr>
      </w:pPr>
    </w:p>
    <w:p w14:paraId="447BC894" w14:textId="14B1547C" w:rsidR="00FC02EB" w:rsidRPr="00ED72FB" w:rsidRDefault="00171BE3" w:rsidP="00FC02EB">
      <w:pPr>
        <w:numPr>
          <w:ilvl w:val="0"/>
          <w:numId w:val="2"/>
        </w:numPr>
        <w:tabs>
          <w:tab w:val="num" w:pos="-3261"/>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sz w:val="28"/>
          <w:szCs w:val="28"/>
        </w:rPr>
        <w:t>Al igual que ocurrió en el caso analizado en el Auto 191 de 2025</w:t>
      </w:r>
      <w:r>
        <w:rPr>
          <w:rStyle w:val="Refdenotaalpie"/>
          <w:rFonts w:ascii="Times New Roman" w:hAnsi="Times New Roman" w:cs="Times New Roman"/>
          <w:color w:val="000000"/>
          <w:sz w:val="28"/>
          <w:szCs w:val="28"/>
        </w:rPr>
        <w:footnoteReference w:id="15"/>
      </w:r>
      <w:r w:rsidR="00945BDC">
        <w:rPr>
          <w:rFonts w:ascii="Times New Roman" w:hAnsi="Times New Roman" w:cs="Times New Roman"/>
          <w:color w:val="000000"/>
          <w:sz w:val="28"/>
          <w:szCs w:val="28"/>
        </w:rPr>
        <w:t>,</w:t>
      </w:r>
      <w:r>
        <w:rPr>
          <w:rFonts w:ascii="Times New Roman" w:hAnsi="Times New Roman" w:cs="Times New Roman"/>
          <w:color w:val="000000"/>
          <w:sz w:val="28"/>
          <w:szCs w:val="28"/>
        </w:rPr>
        <w:t xml:space="preserve"> en este caso e</w:t>
      </w:r>
      <w:r w:rsidR="00FC02EB" w:rsidRPr="00ED72FB">
        <w:rPr>
          <w:rFonts w:ascii="Times New Roman" w:hAnsi="Times New Roman" w:cs="Times New Roman"/>
          <w:color w:val="000000"/>
          <w:sz w:val="28"/>
          <w:szCs w:val="28"/>
        </w:rPr>
        <w:t xml:space="preserve">l </w:t>
      </w:r>
      <w:r w:rsidR="00945BDC">
        <w:rPr>
          <w:rFonts w:ascii="Times New Roman" w:hAnsi="Times New Roman" w:cs="Times New Roman"/>
          <w:color w:val="000000"/>
          <w:sz w:val="28"/>
          <w:szCs w:val="28"/>
        </w:rPr>
        <w:t>p</w:t>
      </w:r>
      <w:r w:rsidR="00FC02EB" w:rsidRPr="00ED72FB">
        <w:rPr>
          <w:rFonts w:ascii="Times New Roman" w:hAnsi="Times New Roman" w:cs="Times New Roman"/>
          <w:color w:val="000000"/>
          <w:sz w:val="28"/>
          <w:szCs w:val="28"/>
        </w:rPr>
        <w:t xml:space="preserve">rocurador </w:t>
      </w:r>
      <w:r w:rsidR="00945BDC">
        <w:rPr>
          <w:rFonts w:ascii="Times New Roman" w:hAnsi="Times New Roman" w:cs="Times New Roman"/>
          <w:color w:val="000000"/>
          <w:sz w:val="28"/>
          <w:szCs w:val="28"/>
        </w:rPr>
        <w:t>g</w:t>
      </w:r>
      <w:r w:rsidR="00FC02EB" w:rsidRPr="00ED72FB">
        <w:rPr>
          <w:rFonts w:ascii="Times New Roman" w:hAnsi="Times New Roman" w:cs="Times New Roman"/>
          <w:color w:val="000000"/>
          <w:sz w:val="28"/>
          <w:szCs w:val="28"/>
        </w:rPr>
        <w:t xml:space="preserve">eneral de la </w:t>
      </w:r>
      <w:r w:rsidR="00945BDC">
        <w:rPr>
          <w:rFonts w:ascii="Times New Roman" w:hAnsi="Times New Roman" w:cs="Times New Roman"/>
          <w:color w:val="000000"/>
          <w:sz w:val="28"/>
          <w:szCs w:val="28"/>
        </w:rPr>
        <w:t>n</w:t>
      </w:r>
      <w:r w:rsidR="00FC02EB" w:rsidRPr="00ED72FB">
        <w:rPr>
          <w:rFonts w:ascii="Times New Roman" w:hAnsi="Times New Roman" w:cs="Times New Roman"/>
          <w:color w:val="000000"/>
          <w:sz w:val="28"/>
          <w:szCs w:val="28"/>
        </w:rPr>
        <w:t>ación alega la configuración de la causal objetiva de impedimento consistente en haber intervenido en la expedición de la norma enjuiciada. De manera puntual, afirma que, en su antigua condición de secretario general del Senado de la República, participó en el trámite de formación de la Ley 2</w:t>
      </w:r>
      <w:r w:rsidR="00ED72FB" w:rsidRPr="00ED72FB">
        <w:rPr>
          <w:rFonts w:ascii="Times New Roman" w:hAnsi="Times New Roman" w:cs="Times New Roman"/>
          <w:color w:val="000000"/>
          <w:sz w:val="28"/>
          <w:szCs w:val="28"/>
        </w:rPr>
        <w:t>363</w:t>
      </w:r>
      <w:r w:rsidR="00FC02EB" w:rsidRPr="00ED72FB">
        <w:rPr>
          <w:rFonts w:ascii="Times New Roman" w:hAnsi="Times New Roman" w:cs="Times New Roman"/>
          <w:color w:val="000000"/>
          <w:sz w:val="28"/>
          <w:szCs w:val="28"/>
        </w:rPr>
        <w:t xml:space="preserve"> de 2024.</w:t>
      </w:r>
      <w:r w:rsidR="00FC02EB" w:rsidRPr="00ED72FB">
        <w:rPr>
          <w:rFonts w:ascii="Times New Roman" w:hAnsi="Times New Roman" w:cs="Times New Roman"/>
        </w:rPr>
        <w:t xml:space="preserve"> </w:t>
      </w:r>
      <w:r w:rsidR="00FC02EB" w:rsidRPr="00ED72FB">
        <w:rPr>
          <w:rFonts w:ascii="Times New Roman" w:hAnsi="Times New Roman" w:cs="Times New Roman"/>
          <w:color w:val="000000" w:themeColor="text1"/>
          <w:sz w:val="28"/>
          <w:szCs w:val="28"/>
        </w:rPr>
        <w:t>Al respecto, el procurador explicó que, en cumplimiento de tales funciones, realizó las siguientes actuaciones</w:t>
      </w:r>
      <w:r w:rsidR="00FC02EB" w:rsidRPr="00ED72FB">
        <w:rPr>
          <w:rStyle w:val="Refdenotaalpie"/>
          <w:rFonts w:ascii="Times New Roman" w:hAnsi="Times New Roman" w:cs="Times New Roman"/>
          <w:color w:val="000000" w:themeColor="text1"/>
          <w:sz w:val="28"/>
          <w:szCs w:val="28"/>
        </w:rPr>
        <w:footnoteReference w:id="16"/>
      </w:r>
      <w:r w:rsidR="00FC02EB" w:rsidRPr="00ED72FB">
        <w:rPr>
          <w:rFonts w:ascii="Times New Roman" w:hAnsi="Times New Roman" w:cs="Times New Roman"/>
          <w:color w:val="000000" w:themeColor="text1"/>
          <w:sz w:val="28"/>
          <w:szCs w:val="28"/>
        </w:rPr>
        <w:t xml:space="preserve">: </w:t>
      </w:r>
    </w:p>
    <w:p w14:paraId="5BCAC003" w14:textId="77777777" w:rsidR="00FC02EB" w:rsidRPr="00ED72FB" w:rsidRDefault="00FC02EB" w:rsidP="00FC02EB">
      <w:pPr>
        <w:tabs>
          <w:tab w:val="left" w:pos="567"/>
        </w:tabs>
        <w:overflowPunct w:val="0"/>
        <w:autoSpaceDE w:val="0"/>
        <w:autoSpaceDN w:val="0"/>
        <w:adjustRightInd w:val="0"/>
        <w:spacing w:after="0" w:line="240" w:lineRule="auto"/>
        <w:ind w:right="103"/>
        <w:jc w:val="both"/>
        <w:textAlignment w:val="baseline"/>
        <w:rPr>
          <w:rFonts w:ascii="Times New Roman" w:hAnsi="Times New Roman" w:cs="Times New Roman"/>
          <w:color w:val="000000" w:themeColor="text1"/>
          <w:sz w:val="28"/>
          <w:szCs w:val="28"/>
        </w:rPr>
      </w:pPr>
    </w:p>
    <w:p w14:paraId="0C3522A9" w14:textId="7E923BA0" w:rsidR="00FC02EB" w:rsidRPr="00ED72FB" w:rsidRDefault="00ED72FB" w:rsidP="00FC02EB">
      <w:pPr>
        <w:pStyle w:val="Prrafodelista"/>
        <w:spacing w:after="0" w:line="240" w:lineRule="auto"/>
        <w:ind w:left="567"/>
        <w:jc w:val="both"/>
        <w:rPr>
          <w:rFonts w:ascii="Times New Roman" w:hAnsi="Times New Roman" w:cs="Times New Roman"/>
          <w:color w:val="000000"/>
          <w:sz w:val="24"/>
          <w:szCs w:val="24"/>
        </w:rPr>
      </w:pPr>
      <w:r w:rsidRPr="00ED72FB">
        <w:rPr>
          <w:rFonts w:ascii="Times New Roman" w:hAnsi="Times New Roman" w:cs="Times New Roman"/>
          <w:color w:val="000000"/>
          <w:sz w:val="24"/>
          <w:szCs w:val="24"/>
        </w:rPr>
        <w:t>“</w:t>
      </w:r>
      <w:r w:rsidR="00FC02EB" w:rsidRPr="00ED72FB">
        <w:rPr>
          <w:rFonts w:ascii="Times New Roman" w:hAnsi="Times New Roman" w:cs="Times New Roman"/>
          <w:color w:val="000000"/>
          <w:sz w:val="24"/>
          <w:szCs w:val="24"/>
        </w:rPr>
        <w:t>(i) Intervine en la radicación, reparto, publicación en la Gaceta del Congreso, inclusión en el orden del día y anuncio en los debates correspondientes;</w:t>
      </w:r>
    </w:p>
    <w:p w14:paraId="6D7F72A0" w14:textId="77777777" w:rsidR="00FC02EB" w:rsidRPr="00ED72FB" w:rsidRDefault="00FC02EB" w:rsidP="00FC02EB">
      <w:pPr>
        <w:pStyle w:val="Prrafodelista"/>
        <w:spacing w:after="0" w:line="240" w:lineRule="auto"/>
        <w:ind w:left="567"/>
        <w:jc w:val="both"/>
        <w:rPr>
          <w:rFonts w:ascii="Times New Roman" w:hAnsi="Times New Roman" w:cs="Times New Roman"/>
          <w:color w:val="000000"/>
          <w:sz w:val="24"/>
          <w:szCs w:val="24"/>
        </w:rPr>
      </w:pPr>
    </w:p>
    <w:p w14:paraId="4D5D5E08" w14:textId="7202C361" w:rsidR="00FC02EB" w:rsidRPr="00ED72FB" w:rsidRDefault="00FC02EB" w:rsidP="00FC02EB">
      <w:pPr>
        <w:pStyle w:val="Prrafodelista"/>
        <w:spacing w:after="0" w:line="240" w:lineRule="auto"/>
        <w:ind w:left="567"/>
        <w:jc w:val="both"/>
        <w:rPr>
          <w:rFonts w:ascii="Times New Roman" w:hAnsi="Times New Roman" w:cs="Times New Roman"/>
          <w:color w:val="000000"/>
          <w:sz w:val="24"/>
          <w:szCs w:val="24"/>
        </w:rPr>
      </w:pPr>
      <w:r w:rsidRPr="00ED72FB">
        <w:rPr>
          <w:rFonts w:ascii="Times New Roman" w:hAnsi="Times New Roman" w:cs="Times New Roman"/>
          <w:color w:val="000000"/>
          <w:sz w:val="24"/>
          <w:szCs w:val="24"/>
        </w:rPr>
        <w:t>(ii) Durante el debate de la iniciativa, además de verificar y certificar el respeto a las normas superiores y orgánicas que establecen los requisitos de validez del trámite parlamentario (v. gr. publicidad de textos y proposiciones, verificación de qu</w:t>
      </w:r>
      <w:r w:rsidR="00945BDC">
        <w:rPr>
          <w:rFonts w:ascii="Times New Roman" w:hAnsi="Times New Roman" w:cs="Times New Roman"/>
          <w:color w:val="000000"/>
          <w:sz w:val="24"/>
          <w:szCs w:val="24"/>
        </w:rPr>
        <w:t>ó</w:t>
      </w:r>
      <w:r w:rsidRPr="00ED72FB">
        <w:rPr>
          <w:rFonts w:ascii="Times New Roman" w:hAnsi="Times New Roman" w:cs="Times New Roman"/>
          <w:color w:val="000000"/>
          <w:sz w:val="24"/>
          <w:szCs w:val="24"/>
        </w:rPr>
        <w:t xml:space="preserve">rum y mayorías, resultados de las votaciones, garantías de deliberación, etc.), asesoré a los congresistas sobre temáticas competenciales y materiales asociadas a la constitucionalidad del proyecto legislativo (v. gr. reservas de ley, unidad de materia, conceptos de impacto fiscal, etc.); y </w:t>
      </w:r>
    </w:p>
    <w:p w14:paraId="11ED4721" w14:textId="77777777" w:rsidR="00FC02EB" w:rsidRPr="00ED72FB" w:rsidRDefault="00FC02EB" w:rsidP="00FC02EB">
      <w:pPr>
        <w:pStyle w:val="Prrafodelista"/>
        <w:spacing w:after="0" w:line="240" w:lineRule="auto"/>
        <w:ind w:left="567"/>
        <w:jc w:val="both"/>
        <w:rPr>
          <w:rFonts w:ascii="Times New Roman" w:hAnsi="Times New Roman" w:cs="Times New Roman"/>
          <w:color w:val="000000"/>
          <w:sz w:val="24"/>
          <w:szCs w:val="24"/>
        </w:rPr>
      </w:pPr>
    </w:p>
    <w:p w14:paraId="56CE77E1" w14:textId="0B338B3A" w:rsidR="00FC02EB" w:rsidRPr="00ED72FB" w:rsidRDefault="00FC02EB" w:rsidP="00FC02EB">
      <w:pPr>
        <w:pStyle w:val="Prrafodelista"/>
        <w:tabs>
          <w:tab w:val="left" w:pos="284"/>
        </w:tabs>
        <w:overflowPunct w:val="0"/>
        <w:autoSpaceDE w:val="0"/>
        <w:autoSpaceDN w:val="0"/>
        <w:adjustRightInd w:val="0"/>
        <w:spacing w:after="0" w:line="240" w:lineRule="auto"/>
        <w:ind w:left="567"/>
        <w:jc w:val="both"/>
        <w:textAlignment w:val="baseline"/>
        <w:rPr>
          <w:rFonts w:ascii="Times New Roman" w:hAnsi="Times New Roman" w:cs="Times New Roman"/>
          <w:sz w:val="24"/>
          <w:szCs w:val="24"/>
          <w:lang w:eastAsia="es-ES"/>
        </w:rPr>
      </w:pPr>
      <w:r w:rsidRPr="00ED72FB">
        <w:rPr>
          <w:rFonts w:ascii="Times New Roman" w:hAnsi="Times New Roman" w:cs="Times New Roman"/>
          <w:color w:val="000000"/>
          <w:sz w:val="24"/>
          <w:szCs w:val="24"/>
        </w:rPr>
        <w:t>(iii) Suscribí [el] cuerpo legal junto con el presidente del Senado de la República, con el fin de certificar la autenticidad y fidelidad del texto aprobado por los parlamentarios</w:t>
      </w:r>
      <w:r w:rsidR="00ED72FB" w:rsidRPr="00ED72FB">
        <w:rPr>
          <w:rFonts w:ascii="Times New Roman" w:hAnsi="Times New Roman" w:cs="Times New Roman"/>
          <w:color w:val="000000"/>
          <w:sz w:val="24"/>
          <w:szCs w:val="24"/>
        </w:rPr>
        <w:t>”</w:t>
      </w:r>
      <w:r w:rsidRPr="00ED72FB">
        <w:rPr>
          <w:rStyle w:val="Refdenotaalpie"/>
          <w:rFonts w:ascii="Times New Roman" w:hAnsi="Times New Roman" w:cs="Times New Roman"/>
          <w:color w:val="000000" w:themeColor="text1"/>
          <w:sz w:val="24"/>
          <w:szCs w:val="24"/>
        </w:rPr>
        <w:footnoteReference w:id="17"/>
      </w:r>
      <w:r w:rsidRPr="00ED72FB">
        <w:rPr>
          <w:rFonts w:ascii="Times New Roman" w:hAnsi="Times New Roman" w:cs="Times New Roman"/>
          <w:color w:val="000000" w:themeColor="text1"/>
          <w:sz w:val="24"/>
          <w:szCs w:val="24"/>
        </w:rPr>
        <w:t xml:space="preserve">. </w:t>
      </w:r>
    </w:p>
    <w:p w14:paraId="49D9EA19" w14:textId="77777777" w:rsidR="00FC02EB" w:rsidRPr="00ED72FB" w:rsidRDefault="00FC02EB" w:rsidP="00FC02EB">
      <w:pPr>
        <w:tabs>
          <w:tab w:val="left" w:pos="567"/>
        </w:tabs>
        <w:overflowPunct w:val="0"/>
        <w:autoSpaceDE w:val="0"/>
        <w:autoSpaceDN w:val="0"/>
        <w:adjustRightInd w:val="0"/>
        <w:spacing w:after="0" w:line="240" w:lineRule="auto"/>
        <w:ind w:right="103"/>
        <w:jc w:val="both"/>
        <w:textAlignment w:val="baseline"/>
        <w:rPr>
          <w:rFonts w:ascii="Times New Roman" w:hAnsi="Times New Roman" w:cs="Times New Roman"/>
          <w:color w:val="000000" w:themeColor="text1"/>
          <w:sz w:val="28"/>
          <w:szCs w:val="28"/>
        </w:rPr>
      </w:pPr>
    </w:p>
    <w:p w14:paraId="47F6A87C" w14:textId="39E330D9" w:rsidR="00FC02EB" w:rsidRPr="00ED72FB" w:rsidRDefault="00FC02EB" w:rsidP="00FC02EB">
      <w:pPr>
        <w:numPr>
          <w:ilvl w:val="0"/>
          <w:numId w:val="2"/>
        </w:numPr>
        <w:tabs>
          <w:tab w:val="num" w:pos="-3261"/>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color w:val="000000" w:themeColor="text1"/>
          <w:sz w:val="28"/>
          <w:szCs w:val="28"/>
        </w:rPr>
      </w:pPr>
      <w:r w:rsidRPr="00ED72FB">
        <w:rPr>
          <w:rFonts w:ascii="Times New Roman" w:eastAsia="Times New Roman" w:hAnsi="Times New Roman" w:cs="Times New Roman"/>
          <w:sz w:val="28"/>
          <w:szCs w:val="28"/>
          <w:lang w:eastAsia="es-ES"/>
        </w:rPr>
        <w:t xml:space="preserve">El </w:t>
      </w:r>
      <w:r w:rsidR="00171BE3">
        <w:rPr>
          <w:rFonts w:ascii="Times New Roman" w:eastAsia="Times New Roman" w:hAnsi="Times New Roman" w:cs="Times New Roman"/>
          <w:sz w:val="28"/>
          <w:szCs w:val="28"/>
          <w:lang w:eastAsia="es-ES"/>
        </w:rPr>
        <w:t xml:space="preserve">funcionario </w:t>
      </w:r>
      <w:r w:rsidRPr="00ED72FB">
        <w:rPr>
          <w:rFonts w:ascii="Times New Roman" w:eastAsia="Times New Roman" w:hAnsi="Times New Roman" w:cs="Times New Roman"/>
          <w:sz w:val="28"/>
          <w:szCs w:val="28"/>
          <w:lang w:eastAsia="es-ES"/>
        </w:rPr>
        <w:t xml:space="preserve">precisó que, </w:t>
      </w:r>
      <w:r w:rsidRPr="00ED72FB">
        <w:rPr>
          <w:rFonts w:ascii="Times New Roman" w:hAnsi="Times New Roman" w:cs="Times New Roman"/>
          <w:color w:val="000000" w:themeColor="text1"/>
          <w:sz w:val="28"/>
          <w:szCs w:val="28"/>
        </w:rPr>
        <w:t>“en calidad de secretario general del Senado de la República, atendí[ó] los requerimientos probatorios de la Corte Constitucional sobre el trámite parlamentario, según consta en los informes respectivos incorporados al expediente”</w:t>
      </w:r>
      <w:r w:rsidRPr="00ED72FB">
        <w:rPr>
          <w:rStyle w:val="Refdenotaalpie"/>
          <w:rFonts w:ascii="Times New Roman" w:hAnsi="Times New Roman" w:cs="Times New Roman"/>
          <w:color w:val="000000" w:themeColor="text1"/>
          <w:sz w:val="28"/>
          <w:szCs w:val="28"/>
        </w:rPr>
        <w:footnoteReference w:id="18"/>
      </w:r>
      <w:r w:rsidRPr="00ED72FB">
        <w:rPr>
          <w:rFonts w:ascii="Times New Roman" w:hAnsi="Times New Roman" w:cs="Times New Roman"/>
          <w:color w:val="000000" w:themeColor="text1"/>
          <w:sz w:val="28"/>
          <w:szCs w:val="28"/>
        </w:rPr>
        <w:t xml:space="preserve">. Igualmente, advirtió que su participación en el trámite legislativo consta en las gacetas del Congreso n.° </w:t>
      </w:r>
      <w:r w:rsidR="00ED72FB">
        <w:rPr>
          <w:rFonts w:ascii="Times New Roman" w:hAnsi="Times New Roman" w:cs="Times New Roman"/>
          <w:color w:val="000000" w:themeColor="text1"/>
          <w:sz w:val="28"/>
          <w:szCs w:val="28"/>
        </w:rPr>
        <w:t>892 de 2022, 1440 de 2023 y 18</w:t>
      </w:r>
      <w:r w:rsidRPr="00ED72FB">
        <w:rPr>
          <w:rFonts w:ascii="Times New Roman" w:hAnsi="Times New Roman" w:cs="Times New Roman"/>
          <w:color w:val="000000" w:themeColor="text1"/>
          <w:sz w:val="28"/>
          <w:szCs w:val="28"/>
        </w:rPr>
        <w:t xml:space="preserve"> y 262 de 2024. </w:t>
      </w:r>
    </w:p>
    <w:p w14:paraId="5CAA69FF" w14:textId="77777777" w:rsidR="00FC02EB" w:rsidRPr="00ED72FB" w:rsidRDefault="00FC02EB" w:rsidP="00FC02EB">
      <w:pPr>
        <w:tabs>
          <w:tab w:val="left" w:pos="567"/>
        </w:tabs>
        <w:overflowPunct w:val="0"/>
        <w:autoSpaceDE w:val="0"/>
        <w:autoSpaceDN w:val="0"/>
        <w:adjustRightInd w:val="0"/>
        <w:spacing w:after="0" w:line="240" w:lineRule="auto"/>
        <w:ind w:right="103"/>
        <w:jc w:val="both"/>
        <w:textAlignment w:val="baseline"/>
        <w:rPr>
          <w:rFonts w:ascii="Times New Roman" w:hAnsi="Times New Roman" w:cs="Times New Roman"/>
          <w:color w:val="000000" w:themeColor="text1"/>
          <w:sz w:val="28"/>
          <w:szCs w:val="28"/>
        </w:rPr>
      </w:pPr>
    </w:p>
    <w:p w14:paraId="10B14A62" w14:textId="6F0E5220" w:rsidR="00FC02EB" w:rsidRPr="00ED72FB" w:rsidRDefault="00FC02EB" w:rsidP="00FC02EB">
      <w:pPr>
        <w:numPr>
          <w:ilvl w:val="0"/>
          <w:numId w:val="2"/>
        </w:numPr>
        <w:tabs>
          <w:tab w:val="num" w:pos="-3261"/>
          <w:tab w:val="left" w:pos="567"/>
        </w:tabs>
        <w:overflowPunct w:val="0"/>
        <w:autoSpaceDE w:val="0"/>
        <w:autoSpaceDN w:val="0"/>
        <w:adjustRightInd w:val="0"/>
        <w:spacing w:after="0" w:line="240" w:lineRule="auto"/>
        <w:ind w:left="0" w:firstLine="0"/>
        <w:jc w:val="both"/>
        <w:textAlignment w:val="baseline"/>
        <w:rPr>
          <w:rFonts w:ascii="Times New Roman" w:hAnsi="Times New Roman" w:cs="Times New Roman"/>
          <w:color w:val="000000" w:themeColor="text1"/>
          <w:sz w:val="28"/>
          <w:szCs w:val="28"/>
        </w:rPr>
      </w:pPr>
      <w:r w:rsidRPr="00ED72FB">
        <w:rPr>
          <w:rFonts w:ascii="Times New Roman" w:hAnsi="Times New Roman" w:cs="Times New Roman"/>
          <w:color w:val="000000" w:themeColor="text1"/>
          <w:sz w:val="28"/>
          <w:szCs w:val="28"/>
          <w:lang w:val="es-CO"/>
        </w:rPr>
        <w:t>De acuerdo con las gacetas del Congreso mencionadas en el impedimento formulado,</w:t>
      </w:r>
      <w:r w:rsidRPr="00ED72FB">
        <w:rPr>
          <w:rFonts w:ascii="Times New Roman" w:eastAsiaTheme="minorHAnsi" w:hAnsi="Times New Roman" w:cs="Times New Roman"/>
          <w:sz w:val="28"/>
          <w:szCs w:val="28"/>
          <w:lang w:val="es-CO" w:eastAsia="en-US"/>
        </w:rPr>
        <w:t xml:space="preserve"> </w:t>
      </w:r>
      <w:r w:rsidRPr="00ED72FB">
        <w:rPr>
          <w:rFonts w:ascii="Times New Roman" w:hAnsi="Times New Roman" w:cs="Times New Roman"/>
          <w:color w:val="000000" w:themeColor="text1"/>
          <w:sz w:val="28"/>
          <w:szCs w:val="28"/>
          <w:lang w:val="es-CO"/>
        </w:rPr>
        <w:t xml:space="preserve">en ejercicio del cargo de secretario general de esa célula legislativa, el ahora procurador general de la nación adelantó las siguientes actuaciones: (i) certificó la recepción del proyecto de ley y su exposición de motivos; (ii) remitió estos documento a la Comisión Segunda Constitucional permanente del Senado de la República, para que esta impartiera el trámite correspondiente; (iii) anunció dicho proyecto para su discusión en la plenaria del Senado; (iv) leyó y certificó la aprobación del orden del día; (v) en esa oportunidad, también hizo el llamado a lista de los senadores y certificó los </w:t>
      </w:r>
      <w:r w:rsidR="00945BDC">
        <w:rPr>
          <w:rFonts w:ascii="Times New Roman" w:hAnsi="Times New Roman" w:cs="Times New Roman"/>
          <w:color w:val="000000" w:themeColor="text1"/>
          <w:sz w:val="28"/>
          <w:szCs w:val="28"/>
          <w:lang w:val="es-CO"/>
        </w:rPr>
        <w:t>q</w:t>
      </w:r>
      <w:r w:rsidRPr="00ED72FB">
        <w:rPr>
          <w:rFonts w:ascii="Times New Roman" w:hAnsi="Times New Roman" w:cs="Times New Roman"/>
          <w:color w:val="000000" w:themeColor="text1"/>
          <w:sz w:val="28"/>
          <w:szCs w:val="28"/>
          <w:lang w:val="es-CO"/>
        </w:rPr>
        <w:t>uórum deliberatorio y decisorio; (v) cerró el registro electrónico de la votación; y (vi) certificó la aprobación del texto definitivo del proyecto de ley en la sesión plenaria del Senado del 9 de octubre de 2023.</w:t>
      </w:r>
    </w:p>
    <w:p w14:paraId="7C7F56E8" w14:textId="77777777" w:rsidR="00FC02EB" w:rsidRPr="00ED72FB" w:rsidRDefault="00FC02EB" w:rsidP="00FC02EB">
      <w:pPr>
        <w:tabs>
          <w:tab w:val="left" w:pos="567"/>
        </w:tabs>
        <w:overflowPunct w:val="0"/>
        <w:autoSpaceDE w:val="0"/>
        <w:autoSpaceDN w:val="0"/>
        <w:adjustRightInd w:val="0"/>
        <w:spacing w:after="0" w:line="240" w:lineRule="auto"/>
        <w:jc w:val="both"/>
        <w:textAlignment w:val="baseline"/>
        <w:rPr>
          <w:rFonts w:ascii="Times New Roman" w:hAnsi="Times New Roman" w:cs="Times New Roman"/>
          <w:color w:val="000000" w:themeColor="text1"/>
          <w:sz w:val="28"/>
          <w:szCs w:val="28"/>
        </w:rPr>
      </w:pPr>
    </w:p>
    <w:p w14:paraId="3C360329" w14:textId="10036EF4" w:rsidR="00FC02EB" w:rsidRPr="00ED72FB" w:rsidRDefault="00FC02EB" w:rsidP="00FC02EB">
      <w:pPr>
        <w:pStyle w:val="Prrafodelista"/>
        <w:numPr>
          <w:ilvl w:val="0"/>
          <w:numId w:val="2"/>
        </w:numPr>
        <w:tabs>
          <w:tab w:val="num" w:pos="-3261"/>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color w:val="000000" w:themeColor="text1"/>
          <w:sz w:val="28"/>
          <w:szCs w:val="28"/>
        </w:rPr>
      </w:pPr>
      <w:r w:rsidRPr="00ED72FB">
        <w:rPr>
          <w:rFonts w:ascii="Times New Roman" w:hAnsi="Times New Roman" w:cs="Times New Roman"/>
          <w:color w:val="000000" w:themeColor="text1"/>
          <w:sz w:val="28"/>
          <w:szCs w:val="28"/>
        </w:rPr>
        <w:t xml:space="preserve">De conformidad con lo expuesto, la Sala concluye que, en efecto, en ejercicio del cargo de secretario general del Senado, el </w:t>
      </w:r>
      <w:r w:rsidR="00945BDC">
        <w:rPr>
          <w:rFonts w:ascii="Times New Roman" w:hAnsi="Times New Roman" w:cs="Times New Roman"/>
          <w:color w:val="000000" w:themeColor="text1"/>
          <w:sz w:val="28"/>
          <w:szCs w:val="28"/>
        </w:rPr>
        <w:t>p</w:t>
      </w:r>
      <w:r w:rsidRPr="00ED72FB">
        <w:rPr>
          <w:rFonts w:ascii="Times New Roman" w:hAnsi="Times New Roman" w:cs="Times New Roman"/>
          <w:color w:val="000000" w:themeColor="text1"/>
          <w:sz w:val="28"/>
          <w:szCs w:val="28"/>
        </w:rPr>
        <w:t xml:space="preserve">rocurador </w:t>
      </w:r>
      <w:r w:rsidR="00945BDC">
        <w:rPr>
          <w:rFonts w:ascii="Times New Roman" w:hAnsi="Times New Roman" w:cs="Times New Roman"/>
          <w:color w:val="000000" w:themeColor="text1"/>
          <w:sz w:val="28"/>
          <w:szCs w:val="28"/>
        </w:rPr>
        <w:t>g</w:t>
      </w:r>
      <w:r w:rsidRPr="00ED72FB">
        <w:rPr>
          <w:rFonts w:ascii="Times New Roman" w:hAnsi="Times New Roman" w:cs="Times New Roman"/>
          <w:color w:val="000000" w:themeColor="text1"/>
          <w:sz w:val="28"/>
          <w:szCs w:val="28"/>
        </w:rPr>
        <w:t xml:space="preserve">eneral de la </w:t>
      </w:r>
      <w:r w:rsidR="00945BDC">
        <w:rPr>
          <w:rFonts w:ascii="Times New Roman" w:hAnsi="Times New Roman" w:cs="Times New Roman"/>
          <w:color w:val="000000" w:themeColor="text1"/>
          <w:sz w:val="28"/>
          <w:szCs w:val="28"/>
        </w:rPr>
        <w:t>n</w:t>
      </w:r>
      <w:r w:rsidRPr="00ED72FB">
        <w:rPr>
          <w:rFonts w:ascii="Times New Roman" w:hAnsi="Times New Roman" w:cs="Times New Roman"/>
          <w:color w:val="000000" w:themeColor="text1"/>
          <w:sz w:val="28"/>
          <w:szCs w:val="28"/>
        </w:rPr>
        <w:t xml:space="preserve">ación intervino en el procedimiento legislativo que culminó con la expedición de la norma </w:t>
      </w:r>
      <w:r w:rsidRPr="00ED72FB">
        <w:rPr>
          <w:rFonts w:ascii="Times New Roman" w:hAnsi="Times New Roman" w:cs="Times New Roman"/>
          <w:color w:val="000000" w:themeColor="text1"/>
          <w:sz w:val="28"/>
          <w:szCs w:val="28"/>
          <w:lang w:eastAsia="es-ES_tradnl"/>
        </w:rPr>
        <w:t>objeto de control constitucional</w:t>
      </w:r>
      <w:r w:rsidRPr="00ED72FB">
        <w:rPr>
          <w:rFonts w:ascii="Times New Roman" w:hAnsi="Times New Roman" w:cs="Times New Roman"/>
          <w:color w:val="000000" w:themeColor="text1"/>
          <w:sz w:val="28"/>
          <w:szCs w:val="28"/>
        </w:rPr>
        <w:t xml:space="preserve">. En consonancia con las funciones propias de ese cargo, las gacetas del Congreso mencionadas en el escrito de impedimento dan cuenta de que su participación se limitó a organizar ese procedimiento y procurar su validez. </w:t>
      </w:r>
    </w:p>
    <w:p w14:paraId="7F23FF8D" w14:textId="77777777" w:rsidR="00FC02EB" w:rsidRPr="00ED72FB" w:rsidRDefault="00FC02EB" w:rsidP="00FC02EB">
      <w:pPr>
        <w:pStyle w:val="Prrafodelista"/>
        <w:tabs>
          <w:tab w:val="left" w:pos="567"/>
        </w:tabs>
        <w:overflowPunct w:val="0"/>
        <w:autoSpaceDE w:val="0"/>
        <w:autoSpaceDN w:val="0"/>
        <w:adjustRightInd w:val="0"/>
        <w:spacing w:after="0" w:line="240" w:lineRule="auto"/>
        <w:ind w:left="0" w:right="103"/>
        <w:jc w:val="both"/>
        <w:textAlignment w:val="baseline"/>
        <w:rPr>
          <w:rFonts w:ascii="Times New Roman" w:hAnsi="Times New Roman" w:cs="Times New Roman"/>
          <w:color w:val="000000" w:themeColor="text1"/>
          <w:sz w:val="28"/>
          <w:szCs w:val="28"/>
        </w:rPr>
      </w:pPr>
    </w:p>
    <w:p w14:paraId="230FC540" w14:textId="77777777" w:rsidR="00FC02EB" w:rsidRPr="00ED72FB" w:rsidRDefault="00FC02EB" w:rsidP="00FC02EB">
      <w:pPr>
        <w:pStyle w:val="Prrafodelista"/>
        <w:numPr>
          <w:ilvl w:val="0"/>
          <w:numId w:val="2"/>
        </w:numPr>
        <w:tabs>
          <w:tab w:val="num" w:pos="-3261"/>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color w:val="000000" w:themeColor="text1"/>
          <w:sz w:val="28"/>
          <w:szCs w:val="28"/>
        </w:rPr>
      </w:pPr>
      <w:r w:rsidRPr="00ED72FB">
        <w:rPr>
          <w:rFonts w:ascii="Times New Roman" w:hAnsi="Times New Roman" w:cs="Times New Roman"/>
          <w:color w:val="000000" w:themeColor="text1"/>
          <w:sz w:val="28"/>
          <w:szCs w:val="28"/>
        </w:rPr>
        <w:lastRenderedPageBreak/>
        <w:t>Al respecto, la Corte también constata que,</w:t>
      </w:r>
      <w:r w:rsidRPr="00ED72FB">
        <w:rPr>
          <w:rFonts w:ascii="Times New Roman" w:eastAsia="Times New Roman" w:hAnsi="Times New Roman" w:cs="Times New Roman"/>
          <w:sz w:val="28"/>
          <w:szCs w:val="28"/>
          <w:lang w:val="es-CO" w:eastAsia="es-MX"/>
        </w:rPr>
        <w:t xml:space="preserve"> </w:t>
      </w:r>
      <w:r w:rsidRPr="00ED72FB">
        <w:rPr>
          <w:rFonts w:ascii="Times New Roman" w:hAnsi="Times New Roman" w:cs="Times New Roman"/>
          <w:color w:val="000000" w:themeColor="text1"/>
          <w:sz w:val="28"/>
          <w:szCs w:val="28"/>
          <w:lang w:val="es-CO"/>
        </w:rPr>
        <w:t>de conformidad con la jurisprudencia</w:t>
      </w:r>
      <w:r w:rsidRPr="00ED72FB">
        <w:rPr>
          <w:rFonts w:ascii="Times New Roman" w:hAnsi="Times New Roman" w:cs="Times New Roman"/>
          <w:color w:val="000000" w:themeColor="text1"/>
          <w:sz w:val="28"/>
          <w:szCs w:val="28"/>
          <w:vertAlign w:val="superscript"/>
          <w:lang w:val="es-CO"/>
        </w:rPr>
        <w:footnoteReference w:id="19"/>
      </w:r>
      <w:r w:rsidRPr="00ED72FB">
        <w:rPr>
          <w:rFonts w:ascii="Times New Roman" w:hAnsi="Times New Roman" w:cs="Times New Roman"/>
          <w:color w:val="000000" w:themeColor="text1"/>
          <w:sz w:val="28"/>
          <w:szCs w:val="28"/>
          <w:lang w:val="es-CO"/>
        </w:rPr>
        <w:t>, el control de constitucional de los tratados internacionales y de las leyes que los aprueben</w:t>
      </w:r>
      <w:r w:rsidRPr="00ED72FB">
        <w:rPr>
          <w:rFonts w:ascii="Times New Roman" w:hAnsi="Times New Roman" w:cs="Times New Roman"/>
          <w:color w:val="000000" w:themeColor="text1"/>
          <w:sz w:val="28"/>
          <w:szCs w:val="28"/>
        </w:rPr>
        <w:t xml:space="preserve"> </w:t>
      </w:r>
      <w:r w:rsidRPr="00ED72FB">
        <w:rPr>
          <w:rFonts w:ascii="Times New Roman" w:hAnsi="Times New Roman" w:cs="Times New Roman"/>
          <w:color w:val="000000" w:themeColor="text1"/>
          <w:sz w:val="28"/>
          <w:szCs w:val="28"/>
          <w:lang w:val="es-CO"/>
        </w:rPr>
        <w:t xml:space="preserve">es </w:t>
      </w:r>
      <w:r w:rsidRPr="00ED72FB">
        <w:rPr>
          <w:rFonts w:ascii="Times New Roman" w:hAnsi="Times New Roman" w:cs="Times New Roman"/>
          <w:b/>
          <w:bCs/>
          <w:color w:val="000000" w:themeColor="text1"/>
          <w:sz w:val="28"/>
          <w:szCs w:val="28"/>
          <w:lang w:val="es-CO"/>
        </w:rPr>
        <w:t xml:space="preserve">oficioso e integral </w:t>
      </w:r>
      <w:r w:rsidRPr="00ED72FB">
        <w:rPr>
          <w:rFonts w:ascii="Times New Roman" w:hAnsi="Times New Roman" w:cs="Times New Roman"/>
          <w:color w:val="000000" w:themeColor="text1"/>
          <w:sz w:val="28"/>
          <w:szCs w:val="28"/>
          <w:lang w:val="es-CO"/>
        </w:rPr>
        <w:t xml:space="preserve">porque la Sala Plena tiene competencia para analizar los aspectos formales y materiales del instrumento y de la ley aprobatoria. En lo que concierne al presente caso, el control formal supone determinar si el trámite legislativo, es decir, aquel que se surte ante el Senado de la República y la Cámara de Representantes, cumplió los requisitos procedimentales de validez que exigen la Constitución, la Ley 5 de 1992 y la jurisprudencia. En este punto se ha de reiterar que, </w:t>
      </w:r>
      <w:r w:rsidRPr="00ED72FB">
        <w:rPr>
          <w:rFonts w:ascii="Times New Roman" w:eastAsia="Times New Roman" w:hAnsi="Times New Roman" w:cs="Times New Roman"/>
          <w:sz w:val="28"/>
          <w:szCs w:val="28"/>
          <w:lang w:val="es-ES_tradnl" w:eastAsia="es-MX"/>
        </w:rPr>
        <w:t>por regla general, el concepto del procurador general de la nación sobre la constitucionalidad de las disposiciones acusadas no es escindible. Por ello, sería improcedente aceptar que el impedimento del procurador cobije únicamente el trámite legislativo.</w:t>
      </w:r>
    </w:p>
    <w:p w14:paraId="2F0EFA00" w14:textId="77777777" w:rsidR="00FC02EB" w:rsidRPr="00ED72FB" w:rsidRDefault="00FC02EB" w:rsidP="00FC02EB">
      <w:pPr>
        <w:pStyle w:val="Prrafodelista"/>
        <w:tabs>
          <w:tab w:val="left" w:pos="567"/>
        </w:tabs>
        <w:overflowPunct w:val="0"/>
        <w:autoSpaceDE w:val="0"/>
        <w:autoSpaceDN w:val="0"/>
        <w:adjustRightInd w:val="0"/>
        <w:spacing w:after="0" w:line="240" w:lineRule="auto"/>
        <w:ind w:left="0" w:right="103"/>
        <w:jc w:val="both"/>
        <w:textAlignment w:val="baseline"/>
        <w:rPr>
          <w:rFonts w:ascii="Times New Roman" w:hAnsi="Times New Roman" w:cs="Times New Roman"/>
          <w:color w:val="000000" w:themeColor="text1"/>
          <w:sz w:val="28"/>
          <w:szCs w:val="28"/>
        </w:rPr>
      </w:pPr>
    </w:p>
    <w:p w14:paraId="6C998BFE" w14:textId="0B70BD27" w:rsidR="00FC02EB" w:rsidRPr="00ED72FB" w:rsidRDefault="00FC02EB" w:rsidP="00FC02EB">
      <w:pPr>
        <w:pStyle w:val="Prrafodelista"/>
        <w:numPr>
          <w:ilvl w:val="0"/>
          <w:numId w:val="2"/>
        </w:numPr>
        <w:spacing w:after="0" w:line="240" w:lineRule="auto"/>
        <w:ind w:left="0" w:firstLine="0"/>
        <w:jc w:val="both"/>
        <w:rPr>
          <w:rFonts w:ascii="Times New Roman" w:hAnsi="Times New Roman" w:cs="Times New Roman"/>
          <w:color w:val="000000"/>
          <w:sz w:val="28"/>
          <w:szCs w:val="28"/>
        </w:rPr>
      </w:pPr>
      <w:r w:rsidRPr="00ED72FB">
        <w:rPr>
          <w:rFonts w:ascii="Times New Roman" w:hAnsi="Times New Roman" w:cs="Times New Roman"/>
          <w:color w:val="000000"/>
          <w:sz w:val="28"/>
          <w:szCs w:val="28"/>
        </w:rPr>
        <w:t>Para la</w:t>
      </w:r>
      <w:r w:rsidR="00E32947">
        <w:rPr>
          <w:rFonts w:ascii="Times New Roman" w:hAnsi="Times New Roman" w:cs="Times New Roman"/>
          <w:color w:val="000000"/>
          <w:sz w:val="28"/>
          <w:szCs w:val="28"/>
        </w:rPr>
        <w:t xml:space="preserve"> Corte</w:t>
      </w:r>
      <w:r w:rsidRPr="00ED72FB">
        <w:rPr>
          <w:rFonts w:ascii="Times New Roman" w:hAnsi="Times New Roman" w:cs="Times New Roman"/>
          <w:color w:val="000000"/>
          <w:sz w:val="28"/>
          <w:szCs w:val="28"/>
        </w:rPr>
        <w:t xml:space="preserve"> es claro que la participación del </w:t>
      </w:r>
      <w:r w:rsidR="00945BDC">
        <w:rPr>
          <w:rFonts w:ascii="Times New Roman" w:hAnsi="Times New Roman" w:cs="Times New Roman"/>
          <w:color w:val="000000"/>
          <w:sz w:val="28"/>
          <w:szCs w:val="28"/>
        </w:rPr>
        <w:t>p</w:t>
      </w:r>
      <w:r w:rsidRPr="00ED72FB">
        <w:rPr>
          <w:rFonts w:ascii="Times New Roman" w:hAnsi="Times New Roman" w:cs="Times New Roman"/>
          <w:color w:val="000000"/>
          <w:sz w:val="28"/>
          <w:szCs w:val="28"/>
        </w:rPr>
        <w:t xml:space="preserve">rocurador </w:t>
      </w:r>
      <w:r w:rsidR="00945BDC">
        <w:rPr>
          <w:rFonts w:ascii="Times New Roman" w:hAnsi="Times New Roman" w:cs="Times New Roman"/>
          <w:color w:val="000000"/>
          <w:sz w:val="28"/>
          <w:szCs w:val="28"/>
        </w:rPr>
        <w:t>g</w:t>
      </w:r>
      <w:r w:rsidRPr="00ED72FB">
        <w:rPr>
          <w:rFonts w:ascii="Times New Roman" w:hAnsi="Times New Roman" w:cs="Times New Roman"/>
          <w:color w:val="000000"/>
          <w:sz w:val="28"/>
          <w:szCs w:val="28"/>
        </w:rPr>
        <w:t>eneral de la</w:t>
      </w:r>
      <w:r w:rsidR="00E32947">
        <w:rPr>
          <w:rFonts w:ascii="Times New Roman" w:hAnsi="Times New Roman" w:cs="Times New Roman"/>
          <w:color w:val="000000"/>
          <w:sz w:val="28"/>
          <w:szCs w:val="28"/>
        </w:rPr>
        <w:t xml:space="preserve"> </w:t>
      </w:r>
      <w:r w:rsidR="00945BDC">
        <w:rPr>
          <w:rFonts w:ascii="Times New Roman" w:hAnsi="Times New Roman" w:cs="Times New Roman"/>
          <w:color w:val="000000"/>
          <w:sz w:val="28"/>
          <w:szCs w:val="28"/>
        </w:rPr>
        <w:t>n</w:t>
      </w:r>
      <w:r w:rsidRPr="00ED72FB">
        <w:rPr>
          <w:rFonts w:ascii="Times New Roman" w:hAnsi="Times New Roman" w:cs="Times New Roman"/>
          <w:color w:val="000000"/>
          <w:sz w:val="28"/>
          <w:szCs w:val="28"/>
        </w:rPr>
        <w:t xml:space="preserve">ación en la expedición de la norma </w:t>
      </w:r>
      <w:r w:rsidRPr="00ED72FB">
        <w:rPr>
          <w:rFonts w:ascii="Times New Roman" w:hAnsi="Times New Roman" w:cs="Times New Roman"/>
          <w:color w:val="000000" w:themeColor="text1"/>
          <w:sz w:val="28"/>
          <w:szCs w:val="28"/>
          <w:lang w:eastAsia="es-ES_tradnl"/>
        </w:rPr>
        <w:t>objeto de control constitucional</w:t>
      </w:r>
      <w:r w:rsidRPr="00ED72FB">
        <w:rPr>
          <w:rFonts w:ascii="Times New Roman" w:hAnsi="Times New Roman" w:cs="Times New Roman"/>
          <w:color w:val="000000"/>
          <w:sz w:val="28"/>
          <w:szCs w:val="28"/>
        </w:rPr>
        <w:t xml:space="preserve"> fue activa y determinante, si se consideran los dos elementos ya descritos: el secretario general del Senado tiene a su cargo funciones relacionadas con organizar el</w:t>
      </w:r>
      <w:r w:rsidRPr="00ED72FB">
        <w:rPr>
          <w:rFonts w:ascii="Times New Roman" w:hAnsi="Times New Roman" w:cs="Times New Roman"/>
          <w:color w:val="000000" w:themeColor="text1"/>
          <w:sz w:val="28"/>
          <w:szCs w:val="28"/>
        </w:rPr>
        <w:t xml:space="preserve"> procedimiento legislativo y procurar su validez y en el asunto de la referencia, la Sala Plena </w:t>
      </w:r>
      <w:r w:rsidRPr="00ED72FB">
        <w:rPr>
          <w:rFonts w:ascii="Times New Roman" w:hAnsi="Times New Roman" w:cs="Times New Roman"/>
          <w:color w:val="000000" w:themeColor="text1"/>
          <w:sz w:val="28"/>
          <w:szCs w:val="28"/>
          <w:lang w:val="es-CO"/>
        </w:rPr>
        <w:t>debe analizar si el instrumento y la ley aprobatoria incurrieron en algún vicio de procedimiento.</w:t>
      </w:r>
      <w:r w:rsidRPr="00ED72FB">
        <w:rPr>
          <w:rFonts w:ascii="Times New Roman" w:hAnsi="Times New Roman" w:cs="Times New Roman"/>
          <w:color w:val="000000"/>
          <w:sz w:val="28"/>
          <w:szCs w:val="28"/>
          <w:lang w:val="es-CO"/>
        </w:rPr>
        <w:t xml:space="preserve"> </w:t>
      </w:r>
      <w:r w:rsidRPr="00ED72FB">
        <w:rPr>
          <w:rFonts w:ascii="Times New Roman" w:hAnsi="Times New Roman" w:cs="Times New Roman"/>
          <w:color w:val="000000"/>
          <w:sz w:val="28"/>
          <w:szCs w:val="28"/>
        </w:rPr>
        <w:t>Por consiguiente, dicha participación se subsume dentro de la causal objetiva de impedimento prevista en el artículo 25 del Decreto 2067 de 1991, consistente en haber intervenido en la expedición de la disposición objeto de control.</w:t>
      </w:r>
    </w:p>
    <w:p w14:paraId="599C7FBD" w14:textId="77777777" w:rsidR="00FC02EB" w:rsidRPr="00ED72FB" w:rsidRDefault="00FC02EB" w:rsidP="00FC02EB">
      <w:pPr>
        <w:pStyle w:val="Prrafodelista"/>
        <w:spacing w:after="0" w:line="240" w:lineRule="auto"/>
        <w:ind w:left="0"/>
        <w:jc w:val="both"/>
        <w:rPr>
          <w:rFonts w:ascii="Times New Roman" w:hAnsi="Times New Roman" w:cs="Times New Roman"/>
          <w:color w:val="000000"/>
          <w:sz w:val="28"/>
          <w:szCs w:val="28"/>
        </w:rPr>
      </w:pPr>
    </w:p>
    <w:p w14:paraId="63DD6839" w14:textId="7F153457" w:rsidR="00FC02EB" w:rsidRPr="00ED72FB" w:rsidRDefault="00FC02EB" w:rsidP="00FC02EB">
      <w:pPr>
        <w:pStyle w:val="Prrafodelista"/>
        <w:numPr>
          <w:ilvl w:val="0"/>
          <w:numId w:val="2"/>
        </w:numPr>
        <w:tabs>
          <w:tab w:val="num" w:pos="-3261"/>
          <w:tab w:val="left" w:pos="567"/>
        </w:tabs>
        <w:overflowPunct w:val="0"/>
        <w:autoSpaceDE w:val="0"/>
        <w:autoSpaceDN w:val="0"/>
        <w:adjustRightInd w:val="0"/>
        <w:spacing w:after="0" w:line="240" w:lineRule="auto"/>
        <w:ind w:left="0" w:right="103" w:firstLine="0"/>
        <w:jc w:val="both"/>
        <w:textAlignment w:val="baseline"/>
        <w:rPr>
          <w:rFonts w:ascii="Times New Roman" w:hAnsi="Times New Roman" w:cs="Times New Roman"/>
          <w:color w:val="000000" w:themeColor="text1"/>
          <w:sz w:val="28"/>
          <w:szCs w:val="28"/>
        </w:rPr>
      </w:pPr>
      <w:r w:rsidRPr="00ED72FB">
        <w:rPr>
          <w:rFonts w:ascii="Times New Roman" w:hAnsi="Times New Roman" w:cs="Times New Roman"/>
          <w:color w:val="000000"/>
          <w:sz w:val="28"/>
          <w:szCs w:val="28"/>
        </w:rPr>
        <w:t>En consecuencia, la Sala declara fundado el impedimento manifestado por el procurador general de la nación para emitir concepto dentro del expediente LAT-50</w:t>
      </w:r>
      <w:r w:rsidR="00ED72FB" w:rsidRPr="00ED72FB">
        <w:rPr>
          <w:rFonts w:ascii="Times New Roman" w:hAnsi="Times New Roman" w:cs="Times New Roman"/>
          <w:color w:val="000000"/>
          <w:sz w:val="28"/>
          <w:szCs w:val="28"/>
        </w:rPr>
        <w:t>0</w:t>
      </w:r>
      <w:r w:rsidRPr="00ED72FB">
        <w:rPr>
          <w:rFonts w:ascii="Times New Roman" w:hAnsi="Times New Roman" w:cs="Times New Roman"/>
          <w:color w:val="000000"/>
          <w:sz w:val="28"/>
          <w:szCs w:val="28"/>
        </w:rPr>
        <w:t xml:space="preserve">. </w:t>
      </w:r>
      <w:r w:rsidR="00945BDC">
        <w:rPr>
          <w:rFonts w:ascii="Times New Roman" w:hAnsi="Times New Roman" w:cs="Times New Roman"/>
          <w:color w:val="000000"/>
          <w:sz w:val="28"/>
          <w:szCs w:val="28"/>
        </w:rPr>
        <w:t>Por tanto</w:t>
      </w:r>
      <w:r w:rsidR="00E32947">
        <w:rPr>
          <w:rFonts w:ascii="Times New Roman" w:hAnsi="Times New Roman" w:cs="Times New Roman"/>
          <w:color w:val="000000"/>
          <w:sz w:val="28"/>
          <w:szCs w:val="28"/>
        </w:rPr>
        <w:t>, se</w:t>
      </w:r>
      <w:r w:rsidRPr="00ED72FB">
        <w:rPr>
          <w:rFonts w:ascii="Times New Roman" w:hAnsi="Times New Roman" w:cs="Times New Roman"/>
          <w:color w:val="000000"/>
          <w:sz w:val="28"/>
          <w:szCs w:val="28"/>
        </w:rPr>
        <w:t xml:space="preserve"> ordenará el levantamiento de la suspensión de términos de que trata el inciso segundo del artículo 48 del Decreto 2067 de 1991</w:t>
      </w:r>
      <w:r w:rsidRPr="00ED72FB">
        <w:rPr>
          <w:rStyle w:val="Refdenotaalpie"/>
          <w:rFonts w:ascii="Times New Roman" w:hAnsi="Times New Roman" w:cs="Times New Roman"/>
          <w:color w:val="000000"/>
          <w:sz w:val="28"/>
          <w:szCs w:val="28"/>
        </w:rPr>
        <w:footnoteReference w:id="20"/>
      </w:r>
      <w:r w:rsidRPr="00ED72FB">
        <w:rPr>
          <w:rFonts w:ascii="Times New Roman" w:hAnsi="Times New Roman" w:cs="Times New Roman"/>
          <w:color w:val="000000"/>
          <w:sz w:val="28"/>
          <w:szCs w:val="28"/>
        </w:rPr>
        <w:t xml:space="preserve">. Igualmente, </w:t>
      </w:r>
      <w:r w:rsidR="00E32947">
        <w:rPr>
          <w:rFonts w:ascii="Times New Roman" w:hAnsi="Times New Roman" w:cs="Times New Roman"/>
          <w:color w:val="000000"/>
          <w:sz w:val="28"/>
          <w:szCs w:val="28"/>
        </w:rPr>
        <w:t xml:space="preserve">se </w:t>
      </w:r>
      <w:r w:rsidRPr="00ED72FB">
        <w:rPr>
          <w:rFonts w:ascii="Times New Roman" w:hAnsi="Times New Roman" w:cs="Times New Roman"/>
          <w:color w:val="000000"/>
          <w:sz w:val="28"/>
          <w:szCs w:val="28"/>
        </w:rPr>
        <w:t>dispondrá la remisión del asunto al viceprocurador general de la nación, para que, en cumplimiento de la función que le atribuye el numeral 3 del artículo 17 del Decreto Ley 262 de 2000, rinda el concepto correspondiente</w:t>
      </w:r>
      <w:r w:rsidRPr="00ED72FB">
        <w:rPr>
          <w:rStyle w:val="Refdenotaalpie"/>
          <w:rFonts w:ascii="Times New Roman" w:hAnsi="Times New Roman" w:cs="Times New Roman"/>
          <w:color w:val="000000"/>
          <w:sz w:val="28"/>
          <w:szCs w:val="28"/>
        </w:rPr>
        <w:footnoteReference w:id="21"/>
      </w:r>
      <w:r w:rsidRPr="00ED72FB">
        <w:rPr>
          <w:rFonts w:ascii="Times New Roman" w:hAnsi="Times New Roman" w:cs="Times New Roman"/>
          <w:color w:val="000000"/>
          <w:sz w:val="28"/>
          <w:szCs w:val="28"/>
        </w:rPr>
        <w:t>.</w:t>
      </w:r>
    </w:p>
    <w:p w14:paraId="3FF4487F" w14:textId="77777777" w:rsidR="00FC02EB" w:rsidRPr="00ED72FB" w:rsidRDefault="00FC02EB" w:rsidP="00FC02EB">
      <w:pPr>
        <w:pStyle w:val="Prrafodelista"/>
        <w:tabs>
          <w:tab w:val="left" w:pos="567"/>
        </w:tabs>
        <w:overflowPunct w:val="0"/>
        <w:autoSpaceDE w:val="0"/>
        <w:autoSpaceDN w:val="0"/>
        <w:adjustRightInd w:val="0"/>
        <w:spacing w:after="0" w:line="240" w:lineRule="auto"/>
        <w:ind w:left="0" w:right="103"/>
        <w:jc w:val="both"/>
        <w:textAlignment w:val="baseline"/>
        <w:rPr>
          <w:rFonts w:ascii="Times New Roman" w:hAnsi="Times New Roman" w:cs="Times New Roman"/>
          <w:color w:val="000000" w:themeColor="text1"/>
          <w:sz w:val="28"/>
          <w:szCs w:val="28"/>
        </w:rPr>
      </w:pPr>
    </w:p>
    <w:p w14:paraId="198DF84C" w14:textId="77777777" w:rsidR="00FC02EB" w:rsidRPr="00ED72FB" w:rsidRDefault="00FC02EB" w:rsidP="00FC02EB">
      <w:pPr>
        <w:spacing w:after="0" w:line="240" w:lineRule="auto"/>
        <w:jc w:val="both"/>
        <w:rPr>
          <w:rFonts w:ascii="Times New Roman" w:eastAsia="Times New Roman" w:hAnsi="Times New Roman" w:cs="Times New Roman"/>
          <w:color w:val="2D2D2D"/>
          <w:szCs w:val="24"/>
          <w:lang w:eastAsia="es-MX"/>
        </w:rPr>
      </w:pPr>
      <w:r w:rsidRPr="00ED72FB">
        <w:rPr>
          <w:rFonts w:ascii="Times New Roman" w:eastAsia="Times New Roman" w:hAnsi="Times New Roman" w:cs="Times New Roman"/>
          <w:color w:val="000000"/>
          <w:sz w:val="28"/>
          <w:szCs w:val="28"/>
          <w:lang w:eastAsia="es-MX"/>
        </w:rPr>
        <w:t>En mérito de lo expuesto, la Sala Plena de la Corte Constitucional</w:t>
      </w:r>
    </w:p>
    <w:p w14:paraId="767B2C03" w14:textId="77777777" w:rsidR="00FC02EB" w:rsidRPr="00ED72FB" w:rsidRDefault="00FC02EB" w:rsidP="00FC02E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s-ES_tradnl" w:eastAsia="es-MX"/>
        </w:rPr>
      </w:pPr>
    </w:p>
    <w:p w14:paraId="6E5455F7" w14:textId="77777777" w:rsidR="00FC02EB" w:rsidRPr="00ED72FB" w:rsidRDefault="00FC02EB" w:rsidP="00FC02EB">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pacing w:val="20"/>
          <w:sz w:val="28"/>
          <w:szCs w:val="28"/>
          <w:lang w:val="es-ES_tradnl" w:eastAsia="es-MX"/>
        </w:rPr>
      </w:pPr>
      <w:r w:rsidRPr="00ED72FB">
        <w:rPr>
          <w:rFonts w:ascii="Times New Roman" w:eastAsia="Times New Roman" w:hAnsi="Times New Roman" w:cs="Times New Roman"/>
          <w:b/>
          <w:spacing w:val="20"/>
          <w:sz w:val="28"/>
          <w:szCs w:val="28"/>
          <w:lang w:val="es-ES_tradnl" w:eastAsia="es-MX"/>
        </w:rPr>
        <w:t>RESUELVE</w:t>
      </w:r>
    </w:p>
    <w:p w14:paraId="3472CDB5" w14:textId="77777777" w:rsidR="00FC02EB" w:rsidRPr="00ED72FB" w:rsidRDefault="00FC02EB" w:rsidP="00FC02E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s-ES_tradnl" w:eastAsia="es-MX"/>
        </w:rPr>
      </w:pPr>
    </w:p>
    <w:p w14:paraId="334A5EAA" w14:textId="09FF0296" w:rsidR="00FC02EB" w:rsidRPr="00ED72FB" w:rsidRDefault="00FC02EB" w:rsidP="00FC02EB">
      <w:pPr>
        <w:shd w:val="clear" w:color="auto" w:fill="FFFFFF"/>
        <w:spacing w:after="0" w:line="240" w:lineRule="auto"/>
        <w:jc w:val="both"/>
        <w:rPr>
          <w:rFonts w:ascii="Times New Roman" w:eastAsia="Times New Roman" w:hAnsi="Times New Roman" w:cs="Times New Roman"/>
          <w:sz w:val="28"/>
          <w:szCs w:val="28"/>
          <w:lang w:val="es-CO"/>
        </w:rPr>
      </w:pPr>
      <w:r w:rsidRPr="00ED72FB">
        <w:rPr>
          <w:rFonts w:ascii="Times New Roman" w:eastAsia="Times New Roman" w:hAnsi="Times New Roman" w:cs="Times New Roman"/>
          <w:b/>
          <w:bCs/>
          <w:sz w:val="28"/>
          <w:szCs w:val="28"/>
          <w:bdr w:val="none" w:sz="0" w:space="0" w:color="auto" w:frame="1"/>
          <w:lang w:val="es-CO"/>
        </w:rPr>
        <w:t>Primero.</w:t>
      </w:r>
      <w:r w:rsidRPr="00ED72FB">
        <w:rPr>
          <w:rFonts w:ascii="Times New Roman" w:eastAsia="Times New Roman" w:hAnsi="Times New Roman" w:cs="Times New Roman"/>
          <w:bCs/>
          <w:sz w:val="28"/>
          <w:szCs w:val="28"/>
          <w:bdr w:val="none" w:sz="0" w:space="0" w:color="auto" w:frame="1"/>
          <w:lang w:val="es-CO"/>
        </w:rPr>
        <w:t xml:space="preserve"> C</w:t>
      </w:r>
      <w:r w:rsidRPr="00ED72FB">
        <w:rPr>
          <w:rFonts w:ascii="Times New Roman" w:eastAsia="Times New Roman" w:hAnsi="Times New Roman" w:cs="Times New Roman"/>
          <w:sz w:val="28"/>
          <w:szCs w:val="28"/>
          <w:lang w:val="es-CO"/>
        </w:rPr>
        <w:t xml:space="preserve">on base en las razones expresadas en esta providencia, </w:t>
      </w:r>
      <w:r w:rsidRPr="00ED72FB">
        <w:rPr>
          <w:rFonts w:ascii="Times New Roman" w:eastAsia="Times New Roman" w:hAnsi="Times New Roman" w:cs="Times New Roman"/>
          <w:b/>
          <w:bCs/>
          <w:sz w:val="28"/>
          <w:szCs w:val="28"/>
          <w:lang w:val="es-CO"/>
        </w:rPr>
        <w:t>DECLARAR FUNDADO</w:t>
      </w:r>
      <w:r w:rsidRPr="00ED72FB">
        <w:rPr>
          <w:rFonts w:ascii="Times New Roman" w:eastAsia="Times New Roman" w:hAnsi="Times New Roman" w:cs="Times New Roman"/>
          <w:sz w:val="28"/>
          <w:szCs w:val="28"/>
          <w:lang w:val="es-CO"/>
        </w:rPr>
        <w:t xml:space="preserve"> el impedimento manifestado por el </w:t>
      </w:r>
      <w:r w:rsidR="00603FC6">
        <w:rPr>
          <w:rFonts w:ascii="Times New Roman" w:eastAsia="Times New Roman" w:hAnsi="Times New Roman" w:cs="Times New Roman"/>
          <w:sz w:val="28"/>
          <w:szCs w:val="28"/>
          <w:lang w:val="es-CO"/>
        </w:rPr>
        <w:t>p</w:t>
      </w:r>
      <w:r w:rsidRPr="00ED72FB">
        <w:rPr>
          <w:rFonts w:ascii="Times New Roman" w:eastAsia="Times New Roman" w:hAnsi="Times New Roman" w:cs="Times New Roman"/>
          <w:sz w:val="28"/>
          <w:szCs w:val="28"/>
          <w:lang w:val="es-CO"/>
        </w:rPr>
        <w:t xml:space="preserve">rocurador </w:t>
      </w:r>
      <w:r w:rsidR="00603FC6">
        <w:rPr>
          <w:rFonts w:ascii="Times New Roman" w:eastAsia="Times New Roman" w:hAnsi="Times New Roman" w:cs="Times New Roman"/>
          <w:sz w:val="28"/>
          <w:szCs w:val="28"/>
          <w:lang w:val="es-CO"/>
        </w:rPr>
        <w:t>g</w:t>
      </w:r>
      <w:r w:rsidRPr="00ED72FB">
        <w:rPr>
          <w:rFonts w:ascii="Times New Roman" w:eastAsia="Times New Roman" w:hAnsi="Times New Roman" w:cs="Times New Roman"/>
          <w:sz w:val="28"/>
          <w:szCs w:val="28"/>
          <w:lang w:val="es-CO"/>
        </w:rPr>
        <w:t xml:space="preserve">eneral de la </w:t>
      </w:r>
      <w:r w:rsidR="00603FC6">
        <w:rPr>
          <w:rFonts w:ascii="Times New Roman" w:eastAsia="Times New Roman" w:hAnsi="Times New Roman" w:cs="Times New Roman"/>
          <w:sz w:val="28"/>
          <w:szCs w:val="28"/>
          <w:lang w:val="es-CO"/>
        </w:rPr>
        <w:t>n</w:t>
      </w:r>
      <w:r w:rsidRPr="00ED72FB">
        <w:rPr>
          <w:rFonts w:ascii="Times New Roman" w:eastAsia="Times New Roman" w:hAnsi="Times New Roman" w:cs="Times New Roman"/>
          <w:sz w:val="28"/>
          <w:szCs w:val="28"/>
          <w:lang w:val="es-CO"/>
        </w:rPr>
        <w:t>ación</w:t>
      </w:r>
      <w:r w:rsidR="00603FC6">
        <w:rPr>
          <w:rFonts w:ascii="Times New Roman" w:eastAsia="Times New Roman" w:hAnsi="Times New Roman" w:cs="Times New Roman"/>
          <w:sz w:val="28"/>
          <w:szCs w:val="28"/>
          <w:lang w:val="es-CO"/>
        </w:rPr>
        <w:t xml:space="preserve"> Gregorio Eljach Pacheco </w:t>
      </w:r>
      <w:r w:rsidRPr="00ED72FB">
        <w:rPr>
          <w:rFonts w:ascii="Times New Roman" w:eastAsia="Times New Roman" w:hAnsi="Times New Roman" w:cs="Times New Roman"/>
          <w:sz w:val="28"/>
          <w:szCs w:val="28"/>
          <w:lang w:val="es-CO"/>
        </w:rPr>
        <w:t>para emitir concepto dentro del expediente LAT-500</w:t>
      </w:r>
      <w:r w:rsidRPr="00ED72FB">
        <w:rPr>
          <w:rFonts w:ascii="Times New Roman" w:eastAsia="Times New Roman" w:hAnsi="Times New Roman" w:cs="Times New Roman"/>
          <w:i/>
          <w:iCs/>
          <w:sz w:val="28"/>
          <w:szCs w:val="28"/>
          <w:bdr w:val="none" w:sz="0" w:space="0" w:color="auto" w:frame="1"/>
          <w:lang w:val="es-CO"/>
        </w:rPr>
        <w:t>.</w:t>
      </w:r>
    </w:p>
    <w:p w14:paraId="471E654B" w14:textId="77777777" w:rsidR="00FC02EB" w:rsidRPr="00ED72FB" w:rsidRDefault="00FC02EB" w:rsidP="00FC02EB">
      <w:pPr>
        <w:shd w:val="clear" w:color="auto" w:fill="FFFFFF"/>
        <w:spacing w:after="0" w:line="240" w:lineRule="auto"/>
        <w:jc w:val="both"/>
        <w:rPr>
          <w:rFonts w:ascii="Times New Roman" w:eastAsia="Times New Roman" w:hAnsi="Times New Roman" w:cs="Times New Roman"/>
          <w:sz w:val="28"/>
          <w:szCs w:val="28"/>
          <w:lang w:val="es-CO"/>
        </w:rPr>
      </w:pPr>
      <w:r w:rsidRPr="00ED72FB">
        <w:rPr>
          <w:rFonts w:ascii="Times New Roman" w:eastAsia="Times New Roman" w:hAnsi="Times New Roman" w:cs="Times New Roman"/>
          <w:sz w:val="28"/>
          <w:szCs w:val="28"/>
          <w:lang w:val="es-CO"/>
        </w:rPr>
        <w:lastRenderedPageBreak/>
        <w:t> </w:t>
      </w:r>
    </w:p>
    <w:p w14:paraId="7420B74C" w14:textId="2E1FF9C7" w:rsidR="00FC02EB" w:rsidRPr="00ED72FB" w:rsidRDefault="00FC02EB" w:rsidP="00FC02EB">
      <w:pPr>
        <w:shd w:val="clear" w:color="auto" w:fill="FFFFFF"/>
        <w:spacing w:after="0" w:line="240" w:lineRule="auto"/>
        <w:jc w:val="both"/>
        <w:rPr>
          <w:rFonts w:ascii="Times New Roman" w:eastAsia="Times New Roman" w:hAnsi="Times New Roman" w:cs="Times New Roman"/>
          <w:sz w:val="28"/>
          <w:szCs w:val="28"/>
          <w:lang w:val="es-CO"/>
        </w:rPr>
      </w:pPr>
      <w:r w:rsidRPr="00ED72FB">
        <w:rPr>
          <w:rFonts w:ascii="Times New Roman" w:eastAsia="Times New Roman" w:hAnsi="Times New Roman" w:cs="Times New Roman"/>
          <w:b/>
          <w:bCs/>
          <w:sz w:val="28"/>
          <w:szCs w:val="28"/>
          <w:bdr w:val="none" w:sz="0" w:space="0" w:color="auto" w:frame="1"/>
          <w:lang w:val="es-CO"/>
        </w:rPr>
        <w:t>Segundo.</w:t>
      </w:r>
      <w:r w:rsidRPr="00ED72FB">
        <w:rPr>
          <w:rFonts w:ascii="Times New Roman" w:eastAsia="Times New Roman" w:hAnsi="Times New Roman" w:cs="Times New Roman"/>
          <w:sz w:val="28"/>
          <w:szCs w:val="28"/>
          <w:lang w:val="es-CO"/>
        </w:rPr>
        <w:t xml:space="preserve"> </w:t>
      </w:r>
      <w:r w:rsidRPr="00ED72FB">
        <w:rPr>
          <w:rFonts w:ascii="Times New Roman" w:eastAsia="Times New Roman" w:hAnsi="Times New Roman" w:cs="Times New Roman"/>
          <w:b/>
          <w:sz w:val="28"/>
          <w:szCs w:val="28"/>
          <w:lang w:val="es-CO"/>
        </w:rPr>
        <w:t>ORDENAR</w:t>
      </w:r>
      <w:r w:rsidRPr="00ED72FB">
        <w:rPr>
          <w:rFonts w:ascii="Times New Roman" w:eastAsia="Times New Roman" w:hAnsi="Times New Roman" w:cs="Times New Roman"/>
          <w:sz w:val="28"/>
          <w:szCs w:val="28"/>
          <w:lang w:val="es-CO"/>
        </w:rPr>
        <w:t xml:space="preserve"> a la Secretaría General de la </w:t>
      </w:r>
      <w:r w:rsidR="00E32947">
        <w:rPr>
          <w:rFonts w:ascii="Times New Roman" w:eastAsia="Times New Roman" w:hAnsi="Times New Roman" w:cs="Times New Roman"/>
          <w:sz w:val="28"/>
          <w:szCs w:val="28"/>
          <w:lang w:val="es-CO"/>
        </w:rPr>
        <w:t xml:space="preserve">Corte Constitucional </w:t>
      </w:r>
      <w:r w:rsidRPr="00ED72FB">
        <w:rPr>
          <w:rFonts w:ascii="Times New Roman" w:eastAsia="Times New Roman" w:hAnsi="Times New Roman" w:cs="Times New Roman"/>
          <w:sz w:val="28"/>
          <w:szCs w:val="28"/>
          <w:lang w:val="es-CO"/>
        </w:rPr>
        <w:t xml:space="preserve">que levante la suspensión de términos decretada con ocasión del impedimento propuesto y corra traslado al viceprocurador general de la nación, por el término restante del otorgado inicialmente al </w:t>
      </w:r>
      <w:r w:rsidR="00E32947">
        <w:rPr>
          <w:rFonts w:ascii="Times New Roman" w:eastAsia="Times New Roman" w:hAnsi="Times New Roman" w:cs="Times New Roman"/>
          <w:sz w:val="28"/>
          <w:szCs w:val="28"/>
          <w:lang w:val="es-CO"/>
        </w:rPr>
        <w:t>P</w:t>
      </w:r>
      <w:r w:rsidRPr="00ED72FB">
        <w:rPr>
          <w:rFonts w:ascii="Times New Roman" w:eastAsia="Times New Roman" w:hAnsi="Times New Roman" w:cs="Times New Roman"/>
          <w:sz w:val="28"/>
          <w:szCs w:val="28"/>
          <w:lang w:val="es-CO"/>
        </w:rPr>
        <w:t xml:space="preserve">rocurador </w:t>
      </w:r>
      <w:r w:rsidR="00E32947">
        <w:rPr>
          <w:rFonts w:ascii="Times New Roman" w:eastAsia="Times New Roman" w:hAnsi="Times New Roman" w:cs="Times New Roman"/>
          <w:sz w:val="28"/>
          <w:szCs w:val="28"/>
          <w:lang w:val="es-CO"/>
        </w:rPr>
        <w:t>G</w:t>
      </w:r>
      <w:r w:rsidRPr="00ED72FB">
        <w:rPr>
          <w:rFonts w:ascii="Times New Roman" w:eastAsia="Times New Roman" w:hAnsi="Times New Roman" w:cs="Times New Roman"/>
          <w:sz w:val="28"/>
          <w:szCs w:val="28"/>
          <w:lang w:val="es-CO"/>
        </w:rPr>
        <w:t xml:space="preserve">eneral de la </w:t>
      </w:r>
      <w:r w:rsidR="00E32947">
        <w:rPr>
          <w:rFonts w:ascii="Times New Roman" w:eastAsia="Times New Roman" w:hAnsi="Times New Roman" w:cs="Times New Roman"/>
          <w:sz w:val="28"/>
          <w:szCs w:val="28"/>
          <w:lang w:val="es-CO"/>
        </w:rPr>
        <w:t>N</w:t>
      </w:r>
      <w:r w:rsidRPr="00ED72FB">
        <w:rPr>
          <w:rFonts w:ascii="Times New Roman" w:eastAsia="Times New Roman" w:hAnsi="Times New Roman" w:cs="Times New Roman"/>
          <w:sz w:val="28"/>
          <w:szCs w:val="28"/>
          <w:lang w:val="es-CO"/>
        </w:rPr>
        <w:t>ación, para que rinda el concepto correspondiente.</w:t>
      </w:r>
    </w:p>
    <w:p w14:paraId="2624E2A3" w14:textId="77777777" w:rsidR="00FC02EB" w:rsidRPr="00ED72FB" w:rsidRDefault="00FC02EB" w:rsidP="00FC02EB">
      <w:pPr>
        <w:shd w:val="clear" w:color="auto" w:fill="FFFFFF"/>
        <w:spacing w:after="0" w:line="240" w:lineRule="auto"/>
        <w:jc w:val="both"/>
        <w:rPr>
          <w:rFonts w:ascii="Times New Roman" w:eastAsia="Times New Roman" w:hAnsi="Times New Roman" w:cs="Times New Roman"/>
          <w:sz w:val="28"/>
          <w:szCs w:val="28"/>
          <w:lang w:val="es-CO"/>
        </w:rPr>
      </w:pPr>
    </w:p>
    <w:p w14:paraId="547143F7" w14:textId="7D21A31E" w:rsidR="00DF0907" w:rsidRDefault="00FC02EB" w:rsidP="00156ABE">
      <w:pPr>
        <w:shd w:val="clear" w:color="auto" w:fill="FFFFFF"/>
        <w:spacing w:after="0" w:line="240" w:lineRule="auto"/>
        <w:ind w:right="-91"/>
        <w:jc w:val="both"/>
        <w:textAlignment w:val="baseline"/>
        <w:rPr>
          <w:rFonts w:ascii="Times New Roman" w:eastAsia="Times New Roman" w:hAnsi="Times New Roman" w:cs="Times New Roman"/>
          <w:sz w:val="28"/>
          <w:szCs w:val="28"/>
          <w:bdr w:val="none" w:sz="0" w:space="0" w:color="auto" w:frame="1"/>
          <w:lang w:val="es-CO" w:eastAsia="es-ES"/>
        </w:rPr>
      </w:pPr>
      <w:r w:rsidRPr="00ED72FB">
        <w:rPr>
          <w:rFonts w:ascii="Times New Roman" w:eastAsia="Times New Roman" w:hAnsi="Times New Roman" w:cs="Times New Roman"/>
          <w:sz w:val="28"/>
          <w:szCs w:val="28"/>
          <w:bdr w:val="none" w:sz="0" w:space="0" w:color="auto" w:frame="1"/>
          <w:lang w:val="es-CO" w:eastAsia="es-ES"/>
        </w:rPr>
        <w:t>Notifíquese, comuníquese y cúmplase.</w:t>
      </w:r>
    </w:p>
    <w:p w14:paraId="0E7BC1DE" w14:textId="3CC920D0" w:rsidR="00C91BA7" w:rsidRDefault="00C91BA7" w:rsidP="00156ABE">
      <w:pPr>
        <w:shd w:val="clear" w:color="auto" w:fill="FFFFFF"/>
        <w:spacing w:after="0" w:line="240" w:lineRule="auto"/>
        <w:ind w:right="-91"/>
        <w:jc w:val="both"/>
        <w:textAlignment w:val="baseline"/>
        <w:rPr>
          <w:rFonts w:ascii="Times New Roman" w:hAnsi="Times New Roman" w:cs="Times New Roman"/>
        </w:rPr>
      </w:pPr>
    </w:p>
    <w:p w14:paraId="0AFCAA20" w14:textId="6601AB62" w:rsidR="00C91BA7" w:rsidRDefault="00C91BA7" w:rsidP="00156ABE">
      <w:pPr>
        <w:shd w:val="clear" w:color="auto" w:fill="FFFFFF"/>
        <w:spacing w:after="0" w:line="240" w:lineRule="auto"/>
        <w:ind w:right="-91"/>
        <w:jc w:val="both"/>
        <w:textAlignment w:val="baseline"/>
        <w:rPr>
          <w:rFonts w:ascii="Times New Roman" w:hAnsi="Times New Roman" w:cs="Times New Roman"/>
        </w:rPr>
      </w:pPr>
    </w:p>
    <w:p w14:paraId="0A7C84DC" w14:textId="51812909"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JORGE ENRIQUE IBÁÑEZ NAJAR</w:t>
      </w:r>
    </w:p>
    <w:p w14:paraId="63101602" w14:textId="787491EB"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Presidente</w:t>
      </w:r>
    </w:p>
    <w:p w14:paraId="2B0ECE8C" w14:textId="3DD5D8C0"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4FE9096D" w14:textId="3A1B85F8"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4CEF6019" w14:textId="1646733B"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6718CF4E" w14:textId="13E228CD"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NATALIA ÁNGEL CABO</w:t>
      </w:r>
    </w:p>
    <w:p w14:paraId="66440B53" w14:textId="73678B8D"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Magistrada</w:t>
      </w:r>
    </w:p>
    <w:p w14:paraId="6661969B" w14:textId="41347B2B"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1565ED5A" w14:textId="024F492D"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36B6EEA8" w14:textId="22EE7C6D"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3036CBC8" w14:textId="60D7FF2C"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JUAN CARLOS CORTÉS GONZÁLEZ</w:t>
      </w:r>
    </w:p>
    <w:p w14:paraId="59651BCA" w14:textId="5E93255F"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Magistrado</w:t>
      </w:r>
    </w:p>
    <w:p w14:paraId="4E0D9E94" w14:textId="33C64F4B"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59DCB16F" w14:textId="028FCA37"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614D601E" w14:textId="706D4B52"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62CB7EA4" w14:textId="6CCB8DE1"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DIANA FAJARDO RIVERA</w:t>
      </w:r>
    </w:p>
    <w:p w14:paraId="580EE7A6" w14:textId="10283C87"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Magistrada</w:t>
      </w:r>
    </w:p>
    <w:p w14:paraId="72A6C90D" w14:textId="4C9A8F89"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60814DDD" w14:textId="5B9501FB"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7E79ED32" w14:textId="268D9066"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46086F17" w14:textId="0980515D"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VLADIMIR FERNÁNDEZ ANDRADE</w:t>
      </w:r>
    </w:p>
    <w:p w14:paraId="1ABE1788" w14:textId="60BBE7DF"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Magistrado</w:t>
      </w:r>
    </w:p>
    <w:p w14:paraId="23BB4894" w14:textId="2F44DDC6"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7FFCB570" w14:textId="1CC998F4"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7CFD8781" w14:textId="254448EA"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328B90F5" w14:textId="5703690F"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PAOLA ANDREA MENESES MOSQUERA</w:t>
      </w:r>
    </w:p>
    <w:p w14:paraId="38E23F0A" w14:textId="416A39E2"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Magistrada</w:t>
      </w:r>
    </w:p>
    <w:p w14:paraId="233B6513" w14:textId="2FC8BF05"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4354E0B5" w14:textId="2A3D5AF1"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0ED6AB91" w14:textId="5C808F40"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20D89494" w14:textId="1A743B0B"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CRISTINA PARDO SCHLESINGER</w:t>
      </w:r>
    </w:p>
    <w:p w14:paraId="7809CADE" w14:textId="0A0AFDC1"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Magistrada</w:t>
      </w:r>
    </w:p>
    <w:p w14:paraId="62B590C1" w14:textId="266204A7"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19594633" w14:textId="10E6C99A"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00D0DFD5" w14:textId="68279B69"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2BD85C84" w14:textId="66FC57A7"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MIGUEL POLO ROSERO</w:t>
      </w:r>
    </w:p>
    <w:p w14:paraId="79BB7F07" w14:textId="4322F0E1"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Magistrado</w:t>
      </w:r>
    </w:p>
    <w:p w14:paraId="2E7FCE8B" w14:textId="4575D6B8"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54BB2F1B" w14:textId="2C0AF115"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3ACF770A" w14:textId="44168E41"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010F5D2A" w14:textId="4899A922"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JOSE FERNANDO REYES CUARTAS</w:t>
      </w:r>
    </w:p>
    <w:p w14:paraId="49FA60DB" w14:textId="51CC8B3E"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Magistrado</w:t>
      </w:r>
    </w:p>
    <w:p w14:paraId="2F06A1B7" w14:textId="2A072FF5"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70C79681" w14:textId="33E5BE29"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0FBD08EF" w14:textId="620C6ABA"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p>
    <w:p w14:paraId="61FC604C" w14:textId="0F3BECD9"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ANDREA LILIANA ROMERO LOPEZ</w:t>
      </w:r>
    </w:p>
    <w:p w14:paraId="08FA09D1" w14:textId="5E556885" w:rsidR="00C91BA7" w:rsidRDefault="00C91BA7" w:rsidP="00C91BA7">
      <w:pPr>
        <w:shd w:val="clear" w:color="auto" w:fill="FFFFFF"/>
        <w:spacing w:after="0" w:line="240" w:lineRule="auto"/>
        <w:ind w:right="-91"/>
        <w:jc w:val="center"/>
        <w:textAlignment w:val="baseline"/>
        <w:rPr>
          <w:rFonts w:ascii="Times New Roman" w:hAnsi="Times New Roman" w:cs="Times New Roman"/>
          <w:sz w:val="28"/>
        </w:rPr>
      </w:pPr>
      <w:r w:rsidRPr="00C91BA7">
        <w:rPr>
          <w:rFonts w:ascii="Times New Roman" w:hAnsi="Times New Roman" w:cs="Times New Roman"/>
          <w:sz w:val="28"/>
        </w:rPr>
        <w:t>Secretaria General</w:t>
      </w:r>
    </w:p>
    <w:sectPr w:rsidR="00C91BA7" w:rsidSect="00156ABE">
      <w:headerReference w:type="default" r:id="rId9"/>
      <w:footerReference w:type="even" r:id="rId10"/>
      <w:footerReference w:type="default" r:id="rId11"/>
      <w:pgSz w:w="12240" w:h="18720" w:code="14"/>
      <w:pgMar w:top="1418" w:right="1701" w:bottom="1701"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8FB8" w14:textId="77777777" w:rsidR="009B35D4" w:rsidRDefault="009B35D4" w:rsidP="00FC02EB">
      <w:pPr>
        <w:spacing w:after="0" w:line="240" w:lineRule="auto"/>
      </w:pPr>
      <w:r>
        <w:separator/>
      </w:r>
    </w:p>
  </w:endnote>
  <w:endnote w:type="continuationSeparator" w:id="0">
    <w:p w14:paraId="173FBBC6" w14:textId="77777777" w:rsidR="009B35D4" w:rsidRDefault="009B35D4" w:rsidP="00FC0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0281" w14:textId="77777777" w:rsidR="005F33BA" w:rsidRDefault="005C10F4">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8FEE854" w14:textId="77777777" w:rsidR="005F33BA" w:rsidRDefault="005F33BA">
    <w:pPr>
      <w:pBdr>
        <w:top w:val="nil"/>
        <w:left w:val="nil"/>
        <w:bottom w:val="nil"/>
        <w:right w:val="nil"/>
        <w:between w:val="nil"/>
      </w:pBdr>
      <w:tabs>
        <w:tab w:val="center" w:pos="4252"/>
        <w:tab w:val="right" w:pos="8504"/>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14BF" w14:textId="751179D7" w:rsidR="005F33BA" w:rsidRDefault="005C10F4">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56ABE">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14:paraId="14D2D61B" w14:textId="77777777" w:rsidR="005F33BA" w:rsidRDefault="005F33BA">
    <w:pPr>
      <w:pBdr>
        <w:top w:val="nil"/>
        <w:left w:val="nil"/>
        <w:bottom w:val="nil"/>
        <w:right w:val="nil"/>
        <w:between w:val="nil"/>
      </w:pBdr>
      <w:tabs>
        <w:tab w:val="center" w:pos="4252"/>
        <w:tab w:val="right" w:pos="8504"/>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71F9" w14:textId="77777777" w:rsidR="009B35D4" w:rsidRDefault="009B35D4" w:rsidP="00FC02EB">
      <w:pPr>
        <w:spacing w:after="0" w:line="240" w:lineRule="auto"/>
      </w:pPr>
      <w:r>
        <w:separator/>
      </w:r>
    </w:p>
  </w:footnote>
  <w:footnote w:type="continuationSeparator" w:id="0">
    <w:p w14:paraId="47729C1B" w14:textId="77777777" w:rsidR="009B35D4" w:rsidRDefault="009B35D4" w:rsidP="00FC02EB">
      <w:pPr>
        <w:spacing w:after="0" w:line="240" w:lineRule="auto"/>
      </w:pPr>
      <w:r>
        <w:continuationSeparator/>
      </w:r>
    </w:p>
  </w:footnote>
  <w:footnote w:id="1">
    <w:p w14:paraId="49ED3E99" w14:textId="79B17C82"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Expediente digital, archivo “LAT0000500-Presentación Demanda-(2024-06-21 12-45-12)”. Disponible en: </w:t>
      </w:r>
      <w:hyperlink r:id="rId1" w:history="1">
        <w:r w:rsidRPr="00E32947">
          <w:rPr>
            <w:rStyle w:val="Hipervnculo"/>
            <w:rFonts w:ascii="Times New Roman" w:hAnsi="Times New Roman" w:cs="Times New Roman"/>
          </w:rPr>
          <w:t>https://www.corteconstitucional.gov.co/secretaria/archivo.php?id=84053</w:t>
        </w:r>
      </w:hyperlink>
      <w:r w:rsidR="00945BDC">
        <w:rPr>
          <w:rStyle w:val="Hipervnculo"/>
          <w:rFonts w:ascii="Times New Roman" w:hAnsi="Times New Roman" w:cs="Times New Roman"/>
        </w:rPr>
        <w:t>.</w:t>
      </w:r>
    </w:p>
  </w:footnote>
  <w:footnote w:id="2">
    <w:p w14:paraId="079CBADC" w14:textId="06B040C1"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Expediente digital, archivo “LAT0000500-Auto Admisorio-(2024-07-31 03-42-30)”. Disponible en: </w:t>
      </w:r>
      <w:hyperlink r:id="rId2" w:history="1">
        <w:r w:rsidRPr="00E32947">
          <w:rPr>
            <w:rStyle w:val="Hipervnculo"/>
            <w:rFonts w:ascii="Times New Roman" w:hAnsi="Times New Roman" w:cs="Times New Roman"/>
          </w:rPr>
          <w:t>https://www.corteconstitucional.gov.co/secretaria/archivo.php?id=86325</w:t>
        </w:r>
      </w:hyperlink>
      <w:r w:rsidRPr="00E32947">
        <w:rPr>
          <w:rFonts w:ascii="Times New Roman" w:hAnsi="Times New Roman" w:cs="Times New Roman"/>
        </w:rPr>
        <w:t xml:space="preserve"> </w:t>
      </w:r>
      <w:r w:rsidR="00945BDC">
        <w:rPr>
          <w:rFonts w:ascii="Times New Roman" w:hAnsi="Times New Roman" w:cs="Times New Roman"/>
        </w:rPr>
        <w:t>.</w:t>
      </w:r>
    </w:p>
  </w:footnote>
  <w:footnote w:id="3">
    <w:p w14:paraId="75F4E414"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Para los fines del artículo 244 de la Constitución Política.</w:t>
      </w:r>
    </w:p>
  </w:footnote>
  <w:footnote w:id="4">
    <w:p w14:paraId="4EDEBCB0"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Para los efectos señalados en el artículo 11 del Decreto Ley 2067 de 1991.</w:t>
      </w:r>
    </w:p>
  </w:footnote>
  <w:footnote w:id="5">
    <w:p w14:paraId="51F99BA8"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En los términos del artículo 13 del Decreto Ley 2067 de 1991.</w:t>
      </w:r>
    </w:p>
  </w:footnote>
  <w:footnote w:id="6">
    <w:p w14:paraId="6FD54F33"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Al Instituto Colombiano para la Evaluación de la Educación (ICFES), al Instituto Colombiano de Crédito Educativo y Estudios Técnicos en el Exterior (ICETEX), a la Asociación Colombiana de Universidades (ASCUN), a la Red Colombiana para la Internacionalización de la Educación Superior, y a las universidades Nacional de Colombia, de los Andes, Externado de Colombia, del Rosario, Eafit de Medellín, de Antioquia, Icesi y del Norte.</w:t>
      </w:r>
    </w:p>
  </w:footnote>
  <w:footnote w:id="7">
    <w:p w14:paraId="7A26EC23"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Expediente digital, archivo “LAT0000500-Autos Varios-(2024-12-10 04-49-01)”. Disponible en: </w:t>
      </w:r>
      <w:hyperlink r:id="rId3" w:history="1">
        <w:r w:rsidRPr="00E32947">
          <w:rPr>
            <w:rStyle w:val="Hipervnculo"/>
            <w:rFonts w:ascii="Times New Roman" w:hAnsi="Times New Roman" w:cs="Times New Roman"/>
          </w:rPr>
          <w:t>https://www.corteconstitucional.gov.co/secretaria/archivo.php?id=96016</w:t>
        </w:r>
      </w:hyperlink>
      <w:r w:rsidRPr="00E32947">
        <w:rPr>
          <w:rFonts w:ascii="Times New Roman" w:hAnsi="Times New Roman" w:cs="Times New Roman"/>
        </w:rPr>
        <w:t xml:space="preserve"> </w:t>
      </w:r>
    </w:p>
  </w:footnote>
  <w:footnote w:id="8">
    <w:p w14:paraId="423DFCB7"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Hace referencia a unos enlaces digitales a las Gacetas del Congreso 892 de 2022, 1378 de 2022, 361 de 2023, 1485 de 2022, 262 de 2024, 18 de 2024, 1440 de 2023, 1694 de 2023, 1825 de 2023 y 556 de 2024.</w:t>
      </w:r>
    </w:p>
  </w:footnote>
  <w:footnote w:id="9">
    <w:p w14:paraId="5F14D803"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Expediente digital, archivo “LAT0000500-Fijación en Lista-(2024-12-11 06-51-38)”. Disponible en: </w:t>
      </w:r>
      <w:hyperlink r:id="rId4" w:history="1">
        <w:r w:rsidRPr="00E32947">
          <w:rPr>
            <w:rStyle w:val="Hipervnculo"/>
            <w:rFonts w:ascii="Times New Roman" w:hAnsi="Times New Roman" w:cs="Times New Roman"/>
          </w:rPr>
          <w:t>https://www.corteconstitucional.gov.co/secretaria/archivo.php?id=96196</w:t>
        </w:r>
      </w:hyperlink>
      <w:r w:rsidRPr="00E32947">
        <w:rPr>
          <w:rFonts w:ascii="Times New Roman" w:hAnsi="Times New Roman" w:cs="Times New Roman"/>
        </w:rPr>
        <w:t xml:space="preserve"> </w:t>
      </w:r>
    </w:p>
  </w:footnote>
  <w:footnote w:id="10">
    <w:p w14:paraId="368DEA3C" w14:textId="26A62023" w:rsidR="00FC02EB" w:rsidRPr="00E32947" w:rsidRDefault="00FC02EB" w:rsidP="00E32947">
      <w:pPr>
        <w:pStyle w:val="Textonotapie"/>
        <w:jc w:val="both"/>
        <w:rPr>
          <w:rFonts w:ascii="Times New Roman" w:hAnsi="Times New Roman" w:cs="Times New Roman"/>
          <w:lang w:val="es-CO"/>
        </w:rPr>
      </w:pPr>
      <w:r w:rsidRPr="00E32947">
        <w:rPr>
          <w:rStyle w:val="Refdenotaalpie"/>
          <w:rFonts w:ascii="Times New Roman" w:hAnsi="Times New Roman" w:cs="Times New Roman"/>
        </w:rPr>
        <w:footnoteRef/>
      </w:r>
      <w:r w:rsidRPr="00E32947">
        <w:rPr>
          <w:rFonts w:ascii="Times New Roman" w:hAnsi="Times New Roman" w:cs="Times New Roman"/>
        </w:rPr>
        <w:t xml:space="preserve"> </w:t>
      </w:r>
      <w:r w:rsidRPr="00E32947">
        <w:rPr>
          <w:rFonts w:ascii="Times New Roman" w:hAnsi="Times New Roman" w:cs="Times New Roman"/>
          <w:lang w:val="es-CO"/>
        </w:rPr>
        <w:t xml:space="preserve">Expediente digital, archivo “LAT0000500-Peticiones y Otros-(2025-01-16 15-27-21)”. Disponible en: </w:t>
      </w:r>
      <w:hyperlink r:id="rId5" w:history="1">
        <w:r w:rsidRPr="00E32947">
          <w:rPr>
            <w:rStyle w:val="Hipervnculo"/>
            <w:rFonts w:ascii="Times New Roman" w:hAnsi="Times New Roman" w:cs="Times New Roman"/>
            <w:lang w:val="es-CO"/>
          </w:rPr>
          <w:t>https://www.corteconstitucional.gov.co/secretaria/archivo.php?id=97414</w:t>
        </w:r>
      </w:hyperlink>
      <w:r w:rsidRPr="00E32947">
        <w:rPr>
          <w:rFonts w:ascii="Times New Roman" w:hAnsi="Times New Roman" w:cs="Times New Roman"/>
          <w:lang w:val="es-CO"/>
        </w:rPr>
        <w:t xml:space="preserve"> </w:t>
      </w:r>
    </w:p>
  </w:footnote>
  <w:footnote w:id="11">
    <w:p w14:paraId="2679E55E"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Pág. 3 del escrito. </w:t>
      </w:r>
    </w:p>
  </w:footnote>
  <w:footnote w:id="12">
    <w:p w14:paraId="2B7DEB35" w14:textId="1A4EBA1A" w:rsidR="00381345" w:rsidRPr="00E32947" w:rsidRDefault="00381345" w:rsidP="00E32947">
      <w:pPr>
        <w:pStyle w:val="Textonotapie"/>
        <w:jc w:val="both"/>
        <w:rPr>
          <w:rFonts w:ascii="Times New Roman" w:hAnsi="Times New Roman" w:cs="Times New Roman"/>
          <w:lang w:val="es-CO"/>
        </w:rPr>
      </w:pPr>
      <w:r w:rsidRPr="00E32947">
        <w:rPr>
          <w:rStyle w:val="Refdenotaalpie"/>
          <w:rFonts w:ascii="Times New Roman" w:hAnsi="Times New Roman" w:cs="Times New Roman"/>
        </w:rPr>
        <w:footnoteRef/>
      </w:r>
      <w:r w:rsidRPr="00E32947">
        <w:rPr>
          <w:rFonts w:ascii="Times New Roman" w:hAnsi="Times New Roman" w:cs="Times New Roman"/>
        </w:rPr>
        <w:t xml:space="preserve"> </w:t>
      </w:r>
      <w:r w:rsidRPr="00E32947">
        <w:rPr>
          <w:rFonts w:ascii="Times New Roman" w:hAnsi="Times New Roman" w:cs="Times New Roman"/>
          <w:lang w:val="es-CO"/>
        </w:rPr>
        <w:t>E</w:t>
      </w:r>
      <w:r w:rsidR="00114A10" w:rsidRPr="00E32947">
        <w:rPr>
          <w:rFonts w:ascii="Times New Roman" w:hAnsi="Times New Roman" w:cs="Times New Roman"/>
          <w:lang w:val="es-CO"/>
        </w:rPr>
        <w:t>n e</w:t>
      </w:r>
      <w:r w:rsidRPr="00E32947">
        <w:rPr>
          <w:rFonts w:ascii="Times New Roman" w:hAnsi="Times New Roman" w:cs="Times New Roman"/>
          <w:lang w:val="es-CO"/>
        </w:rPr>
        <w:t>sta sección</w:t>
      </w:r>
      <w:r w:rsidR="00114A10" w:rsidRPr="00E32947">
        <w:rPr>
          <w:rFonts w:ascii="Times New Roman" w:hAnsi="Times New Roman" w:cs="Times New Roman"/>
          <w:lang w:val="es-CO"/>
        </w:rPr>
        <w:t xml:space="preserve"> traen a colación</w:t>
      </w:r>
      <w:r w:rsidRPr="00E32947">
        <w:rPr>
          <w:rFonts w:ascii="Times New Roman" w:hAnsi="Times New Roman" w:cs="Times New Roman"/>
          <w:lang w:val="es-CO"/>
        </w:rPr>
        <w:t xml:space="preserve"> las consideraciones del Auto 191 de 2025</w:t>
      </w:r>
      <w:r w:rsidR="00256296" w:rsidRPr="00E32947">
        <w:rPr>
          <w:rFonts w:ascii="Times New Roman" w:hAnsi="Times New Roman" w:cs="Times New Roman"/>
          <w:lang w:val="es-CO"/>
        </w:rPr>
        <w:t xml:space="preserve"> (expediente LAT-501)</w:t>
      </w:r>
      <w:r w:rsidRPr="00E32947">
        <w:rPr>
          <w:rFonts w:ascii="Times New Roman" w:hAnsi="Times New Roman" w:cs="Times New Roman"/>
          <w:lang w:val="es-CO"/>
        </w:rPr>
        <w:t xml:space="preserve">, debido a que los argumentos del procurador general de la nación en su manifestación de impedimento también se refieren explícitamente al expediente </w:t>
      </w:r>
      <w:r w:rsidR="00ED72FB" w:rsidRPr="00E32947">
        <w:rPr>
          <w:rFonts w:ascii="Times New Roman" w:hAnsi="Times New Roman" w:cs="Times New Roman"/>
          <w:lang w:val="es-CO"/>
        </w:rPr>
        <w:t xml:space="preserve">bajo estudio (se declaró impedido en los expedientes D-15465, D-15486, D-15542, D-16004, D-16017 (AC), D-16101 (AC), D-16115, D-16177, D-16296, LAT-500, LAT-501 y PE-057 por las mismas razones). </w:t>
      </w:r>
      <w:r w:rsidRPr="00E32947">
        <w:rPr>
          <w:rFonts w:ascii="Times New Roman" w:hAnsi="Times New Roman" w:cs="Times New Roman"/>
          <w:lang w:val="es-CO"/>
        </w:rPr>
        <w:t>En consecuencia, la Sala Plena aplicará un criterio unificado para resolverlo</w:t>
      </w:r>
      <w:r w:rsidR="00256296" w:rsidRPr="00E32947">
        <w:rPr>
          <w:rFonts w:ascii="Times New Roman" w:hAnsi="Times New Roman" w:cs="Times New Roman"/>
          <w:lang w:val="es-CO"/>
        </w:rPr>
        <w:t>, porque involucra el mismo procedimiento legislativo y consideraciones análogas</w:t>
      </w:r>
      <w:r w:rsidRPr="00E32947">
        <w:rPr>
          <w:rFonts w:ascii="Times New Roman" w:hAnsi="Times New Roman" w:cs="Times New Roman"/>
          <w:lang w:val="es-CO"/>
        </w:rPr>
        <w:t>.</w:t>
      </w:r>
    </w:p>
  </w:footnote>
  <w:footnote w:id="13">
    <w:p w14:paraId="4BDCAC32" w14:textId="77777777" w:rsidR="0005545E" w:rsidRPr="00425ACE" w:rsidRDefault="0005545E" w:rsidP="0005545E">
      <w:pPr>
        <w:pStyle w:val="Textonotapie"/>
        <w:jc w:val="both"/>
        <w:rPr>
          <w:rFonts w:ascii="Times New Roman" w:hAnsi="Times New Roman" w:cs="Times New Roman"/>
        </w:rPr>
      </w:pPr>
      <w:r w:rsidRPr="00425ACE">
        <w:rPr>
          <w:rStyle w:val="Refdenotaalpie"/>
          <w:rFonts w:ascii="Times New Roman" w:hAnsi="Times New Roman" w:cs="Times New Roman"/>
        </w:rPr>
        <w:footnoteRef/>
      </w:r>
      <w:r w:rsidRPr="00425ACE">
        <w:rPr>
          <w:rFonts w:ascii="Times New Roman" w:hAnsi="Times New Roman" w:cs="Times New Roman"/>
        </w:rPr>
        <w:t xml:space="preserve"> Corte Constitucional. Auto A-191 de 2025.</w:t>
      </w:r>
    </w:p>
  </w:footnote>
  <w:footnote w:id="14">
    <w:p w14:paraId="6BC6D44D" w14:textId="77777777" w:rsidR="0005545E" w:rsidRPr="00425ACE" w:rsidRDefault="0005545E" w:rsidP="0005545E">
      <w:pPr>
        <w:pStyle w:val="Textonotapie"/>
        <w:rPr>
          <w:rFonts w:ascii="Times New Roman" w:hAnsi="Times New Roman" w:cs="Times New Roman"/>
        </w:rPr>
      </w:pPr>
      <w:r w:rsidRPr="00425ACE">
        <w:rPr>
          <w:rStyle w:val="Refdenotaalpie"/>
          <w:rFonts w:ascii="Times New Roman" w:hAnsi="Times New Roman" w:cs="Times New Roman"/>
        </w:rPr>
        <w:footnoteRef/>
      </w:r>
      <w:r w:rsidRPr="00425ACE">
        <w:rPr>
          <w:rFonts w:ascii="Times New Roman" w:hAnsi="Times New Roman" w:cs="Times New Roman"/>
        </w:rPr>
        <w:t xml:space="preserve"> Ibid.</w:t>
      </w:r>
    </w:p>
  </w:footnote>
  <w:footnote w:id="15">
    <w:p w14:paraId="341BB185" w14:textId="2C19D355" w:rsidR="00171BE3" w:rsidRPr="00E32947" w:rsidRDefault="00171BE3"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Dada la </w:t>
      </w:r>
      <w:r w:rsidR="00E32947">
        <w:rPr>
          <w:rFonts w:ascii="Times New Roman" w:hAnsi="Times New Roman" w:cs="Times New Roman"/>
        </w:rPr>
        <w:t xml:space="preserve">estricta </w:t>
      </w:r>
      <w:r w:rsidRPr="00E32947">
        <w:rPr>
          <w:rFonts w:ascii="Times New Roman" w:hAnsi="Times New Roman" w:cs="Times New Roman"/>
        </w:rPr>
        <w:t>identidad fáctica y argumentativa de</w:t>
      </w:r>
      <w:r w:rsidR="00E32947">
        <w:rPr>
          <w:rFonts w:ascii="Times New Roman" w:hAnsi="Times New Roman" w:cs="Times New Roman"/>
        </w:rPr>
        <w:t xml:space="preserve"> la manifestación de impedimento planteada por el Procurador General de la Nación</w:t>
      </w:r>
      <w:r w:rsidRPr="00E32947">
        <w:rPr>
          <w:rFonts w:ascii="Times New Roman" w:hAnsi="Times New Roman" w:cs="Times New Roman"/>
        </w:rPr>
        <w:t xml:space="preserve">, </w:t>
      </w:r>
      <w:r w:rsidR="00E32947">
        <w:rPr>
          <w:rFonts w:ascii="Times New Roman" w:hAnsi="Times New Roman" w:cs="Times New Roman"/>
        </w:rPr>
        <w:t xml:space="preserve">y </w:t>
      </w:r>
      <w:r w:rsidRPr="00E32947">
        <w:rPr>
          <w:rFonts w:ascii="Times New Roman" w:hAnsi="Times New Roman" w:cs="Times New Roman"/>
        </w:rPr>
        <w:t xml:space="preserve">con el fin de preservar la uniformidad de las decisiones, en este caso se optará por </w:t>
      </w:r>
      <w:r w:rsidR="00E32947">
        <w:rPr>
          <w:rFonts w:ascii="Times New Roman" w:hAnsi="Times New Roman" w:cs="Times New Roman"/>
        </w:rPr>
        <w:t>seguir</w:t>
      </w:r>
      <w:r w:rsidRPr="00E32947">
        <w:rPr>
          <w:rFonts w:ascii="Times New Roman" w:hAnsi="Times New Roman" w:cs="Times New Roman"/>
        </w:rPr>
        <w:t xml:space="preserve"> la misma metodología </w:t>
      </w:r>
      <w:r w:rsidR="00E32947">
        <w:rPr>
          <w:rFonts w:ascii="Times New Roman" w:hAnsi="Times New Roman" w:cs="Times New Roman"/>
        </w:rPr>
        <w:t xml:space="preserve">y la redacción utilizada por la Sala Plena </w:t>
      </w:r>
      <w:r w:rsidR="00E32947" w:rsidRPr="00E32947">
        <w:rPr>
          <w:rFonts w:ascii="Times New Roman" w:hAnsi="Times New Roman" w:cs="Times New Roman"/>
        </w:rPr>
        <w:t xml:space="preserve">en el Auto 191 de 2025. </w:t>
      </w:r>
    </w:p>
  </w:footnote>
  <w:footnote w:id="16">
    <w:p w14:paraId="3C4639F2" w14:textId="1712DC95"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P</w:t>
      </w:r>
      <w:r w:rsidR="00945BDC">
        <w:rPr>
          <w:rFonts w:ascii="Times New Roman" w:hAnsi="Times New Roman" w:cs="Times New Roman"/>
        </w:rPr>
        <w:t>p</w:t>
      </w:r>
      <w:r w:rsidRPr="00E32947">
        <w:rPr>
          <w:rFonts w:ascii="Times New Roman" w:hAnsi="Times New Roman" w:cs="Times New Roman"/>
        </w:rPr>
        <w:t>. 3 y 4 del escrito.</w:t>
      </w:r>
    </w:p>
  </w:footnote>
  <w:footnote w:id="17">
    <w:p w14:paraId="6D29D17A"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Ver, entre otros, los artículos 145, 146, 154, 157, 158, 160, 162 y 165 de la Carta Política, los artículos 47, 89, 139, 144, 152 y 165 de la Ley 5 de 1992, así como la Resolución 008 de 2011 del Senado de la República.</w:t>
      </w:r>
    </w:p>
  </w:footnote>
  <w:footnote w:id="18">
    <w:p w14:paraId="785629FB"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Pág. 5 del escrito. </w:t>
      </w:r>
    </w:p>
  </w:footnote>
  <w:footnote w:id="19">
    <w:p w14:paraId="1C957B58"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Al respecto, se pueden consultar, entre otras, las sentencias C-091 de 2021, C-275 y C-224 de 2019, C-048 de 2018, C-332 de 2014, C-829 y C-622 de 2013, C-822 de 2012, C-027 de 2011, C-460 de 2010, C-751 y C-464 de 2008, C-276 de 2006, C-924 de 2000, C-400 de 1998, C-468 de 1997, y C-682 y C-378 de 1996.</w:t>
      </w:r>
    </w:p>
  </w:footnote>
  <w:footnote w:id="20">
    <w:p w14:paraId="618001C0"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Artículo 48 del Decreto 2067 de 1991: “Los términos establecidos para rendir concepto, presentar ponencia o dictar fallo, no correrán durante el tiempo indispensable para tramitar los incidentes de impedimento o recusación y para la posesión de los conjueces, cuando a ello hubiere, lugar”.</w:t>
      </w:r>
    </w:p>
  </w:footnote>
  <w:footnote w:id="21">
    <w:p w14:paraId="06D0165E" w14:textId="77777777" w:rsidR="00FC02EB" w:rsidRPr="00E32947" w:rsidRDefault="00FC02EB" w:rsidP="00E32947">
      <w:pPr>
        <w:pStyle w:val="Textonotapie"/>
        <w:jc w:val="both"/>
        <w:rPr>
          <w:rFonts w:ascii="Times New Roman" w:hAnsi="Times New Roman" w:cs="Times New Roman"/>
        </w:rPr>
      </w:pPr>
      <w:r w:rsidRPr="00E32947">
        <w:rPr>
          <w:rStyle w:val="Refdenotaalpie"/>
          <w:rFonts w:ascii="Times New Roman" w:hAnsi="Times New Roman" w:cs="Times New Roman"/>
        </w:rPr>
        <w:footnoteRef/>
      </w:r>
      <w:r w:rsidRPr="00E32947">
        <w:rPr>
          <w:rFonts w:ascii="Times New Roman" w:hAnsi="Times New Roman" w:cs="Times New Roman"/>
        </w:rPr>
        <w:t xml:space="preserve"> Corte Constitucional, Autos 049 de 2021, 015 de 2020, 531 de 2019, 723 de 2018, 418 de 2017 y 031 de 2016, entre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D209" w14:textId="15CA5B24" w:rsidR="005F33BA" w:rsidRPr="00156ABE" w:rsidRDefault="005C10F4" w:rsidP="00FF565B">
    <w:pPr>
      <w:tabs>
        <w:tab w:val="center" w:pos="4252"/>
        <w:tab w:val="right" w:pos="8504"/>
      </w:tabs>
      <w:spacing w:after="0" w:line="240" w:lineRule="auto"/>
      <w:jc w:val="right"/>
      <w:rPr>
        <w:rFonts w:ascii="Times New Roman" w:eastAsia="Times New Roman" w:hAnsi="Times New Roman" w:cs="Times New Roman"/>
        <w:i/>
        <w:sz w:val="20"/>
        <w:szCs w:val="20"/>
        <w:lang w:val="es-ES_tradnl" w:eastAsia="en-US"/>
      </w:rPr>
    </w:pPr>
    <w:r w:rsidRPr="00156ABE">
      <w:rPr>
        <w:rFonts w:ascii="Times New Roman" w:eastAsia="Times New Roman" w:hAnsi="Times New Roman" w:cs="Times New Roman"/>
        <w:i/>
        <w:sz w:val="20"/>
        <w:szCs w:val="20"/>
        <w:lang w:val="es-ES_tradnl" w:eastAsia="en-US"/>
      </w:rPr>
      <w:t>Expediente LAT-50</w:t>
    </w:r>
    <w:r w:rsidR="00FC02EB" w:rsidRPr="00156ABE">
      <w:rPr>
        <w:rFonts w:ascii="Times New Roman" w:eastAsia="Times New Roman" w:hAnsi="Times New Roman" w:cs="Times New Roman"/>
        <w:i/>
        <w:sz w:val="20"/>
        <w:szCs w:val="20"/>
        <w:lang w:val="es-ES_tradnl" w:eastAsia="en-US"/>
      </w:rPr>
      <w:t>0</w:t>
    </w:r>
  </w:p>
  <w:p w14:paraId="52E4A4D2" w14:textId="74E6A09D" w:rsidR="005F33BA" w:rsidRPr="00156ABE" w:rsidRDefault="005C10F4" w:rsidP="00FF565B">
    <w:pPr>
      <w:tabs>
        <w:tab w:val="center" w:pos="4252"/>
        <w:tab w:val="right" w:pos="8504"/>
      </w:tabs>
      <w:spacing w:after="0" w:line="240" w:lineRule="auto"/>
      <w:jc w:val="right"/>
      <w:rPr>
        <w:rFonts w:eastAsia="Times New Roman" w:cs="Times New Roman"/>
        <w:i/>
        <w:sz w:val="20"/>
        <w:szCs w:val="20"/>
        <w:lang w:val="es-CO" w:eastAsia="en-US"/>
      </w:rPr>
    </w:pPr>
    <w:r w:rsidRPr="00156ABE">
      <w:rPr>
        <w:rFonts w:ascii="Times New Roman" w:eastAsia="Times New Roman" w:hAnsi="Times New Roman" w:cs="Times New Roman"/>
        <w:i/>
        <w:sz w:val="20"/>
        <w:szCs w:val="20"/>
        <w:lang w:val="es-ES_tradnl" w:eastAsia="en-US"/>
      </w:rPr>
      <w:t>MP</w:t>
    </w:r>
    <w:r w:rsidR="00FC02EB" w:rsidRPr="00156ABE">
      <w:rPr>
        <w:rFonts w:ascii="Times New Roman" w:eastAsia="Times New Roman" w:hAnsi="Times New Roman" w:cs="Times New Roman"/>
        <w:i/>
        <w:sz w:val="20"/>
        <w:szCs w:val="20"/>
        <w:lang w:val="es-ES_tradnl" w:eastAsia="en-US"/>
      </w:rPr>
      <w:t>.</w:t>
    </w:r>
    <w:r w:rsidRPr="00156ABE">
      <w:rPr>
        <w:rFonts w:ascii="Times New Roman" w:eastAsia="Times New Roman" w:hAnsi="Times New Roman" w:cs="Times New Roman"/>
        <w:i/>
        <w:sz w:val="20"/>
        <w:szCs w:val="20"/>
        <w:lang w:val="es-ES_tradnl" w:eastAsia="en-US"/>
      </w:rPr>
      <w:t xml:space="preserve"> </w:t>
    </w:r>
    <w:r w:rsidR="00FC02EB" w:rsidRPr="00156ABE">
      <w:rPr>
        <w:rFonts w:ascii="Times New Roman" w:eastAsia="Times New Roman" w:hAnsi="Times New Roman" w:cs="Times New Roman"/>
        <w:i/>
        <w:sz w:val="20"/>
        <w:szCs w:val="20"/>
        <w:lang w:val="es-ES_tradnl" w:eastAsia="en-US"/>
      </w:rPr>
      <w:t>Diana Fajardo Rivera</w:t>
    </w:r>
  </w:p>
  <w:p w14:paraId="2893E861" w14:textId="77777777" w:rsidR="005F33BA" w:rsidRPr="00FF565B" w:rsidRDefault="005F33BA" w:rsidP="00FF56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A00DE"/>
    <w:multiLevelType w:val="hybridMultilevel"/>
    <w:tmpl w:val="1C3CA650"/>
    <w:lvl w:ilvl="0" w:tplc="FC2CD73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9004671"/>
    <w:multiLevelType w:val="hybridMultilevel"/>
    <w:tmpl w:val="87D0C126"/>
    <w:lvl w:ilvl="0" w:tplc="77AEEB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2B0B07"/>
    <w:multiLevelType w:val="hybridMultilevel"/>
    <w:tmpl w:val="182802E6"/>
    <w:lvl w:ilvl="0" w:tplc="ADD2C682">
      <w:start w:val="1"/>
      <w:numFmt w:val="decimal"/>
      <w:lvlText w:val="%1."/>
      <w:lvlJc w:val="left"/>
      <w:pPr>
        <w:ind w:left="720" w:hanging="360"/>
      </w:pPr>
      <w:rPr>
        <w:rFonts w:hint="default"/>
        <w:b w:val="0"/>
        <w:bCs w:val="0"/>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61461518">
    <w:abstractNumId w:val="0"/>
  </w:num>
  <w:num w:numId="2" w16cid:durableId="778186066">
    <w:abstractNumId w:val="2"/>
  </w:num>
  <w:num w:numId="3" w16cid:durableId="703091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2EB"/>
    <w:rsid w:val="0005545E"/>
    <w:rsid w:val="0009429D"/>
    <w:rsid w:val="00097FF6"/>
    <w:rsid w:val="000A1E03"/>
    <w:rsid w:val="000F2334"/>
    <w:rsid w:val="00114A10"/>
    <w:rsid w:val="00156ABE"/>
    <w:rsid w:val="00170FE3"/>
    <w:rsid w:val="00171BE3"/>
    <w:rsid w:val="00204224"/>
    <w:rsid w:val="00256296"/>
    <w:rsid w:val="002B6C0B"/>
    <w:rsid w:val="0030385F"/>
    <w:rsid w:val="0032098F"/>
    <w:rsid w:val="00381345"/>
    <w:rsid w:val="00415168"/>
    <w:rsid w:val="0042766C"/>
    <w:rsid w:val="00507AE6"/>
    <w:rsid w:val="005120F8"/>
    <w:rsid w:val="005410B8"/>
    <w:rsid w:val="005C10F4"/>
    <w:rsid w:val="005E0738"/>
    <w:rsid w:val="005F33BA"/>
    <w:rsid w:val="00603FC6"/>
    <w:rsid w:val="00615D34"/>
    <w:rsid w:val="00696193"/>
    <w:rsid w:val="006B62C4"/>
    <w:rsid w:val="00724125"/>
    <w:rsid w:val="007718AE"/>
    <w:rsid w:val="007E2D56"/>
    <w:rsid w:val="00815331"/>
    <w:rsid w:val="008B1979"/>
    <w:rsid w:val="00945BDC"/>
    <w:rsid w:val="009B35D4"/>
    <w:rsid w:val="00A45927"/>
    <w:rsid w:val="00A51E7D"/>
    <w:rsid w:val="00AA2DF2"/>
    <w:rsid w:val="00B06B64"/>
    <w:rsid w:val="00B95F76"/>
    <w:rsid w:val="00C02197"/>
    <w:rsid w:val="00C35BA8"/>
    <w:rsid w:val="00C91BA7"/>
    <w:rsid w:val="00CC2140"/>
    <w:rsid w:val="00CF3785"/>
    <w:rsid w:val="00D02EE3"/>
    <w:rsid w:val="00D42D9A"/>
    <w:rsid w:val="00DB6894"/>
    <w:rsid w:val="00DF0907"/>
    <w:rsid w:val="00DF53E8"/>
    <w:rsid w:val="00E32947"/>
    <w:rsid w:val="00ED72FB"/>
    <w:rsid w:val="00FC02EB"/>
    <w:rsid w:val="00FE07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AB80"/>
  <w15:chartTrackingRefBased/>
  <w15:docId w15:val="{D372A1D9-A4FA-447C-9741-845ACA1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2EB"/>
    <w:rPr>
      <w:rFonts w:ascii="Calibri" w:eastAsia="Calibri" w:hAnsi="Calibri" w:cs="Calibri"/>
      <w:color w:val="auto"/>
      <w:sz w:val="22"/>
      <w:szCs w:val="22"/>
      <w:lang w:val="es-ES" w:eastAsia="es-CO"/>
    </w:rPr>
  </w:style>
  <w:style w:type="paragraph" w:styleId="Ttulo1">
    <w:name w:val="heading 1"/>
    <w:basedOn w:val="Normal"/>
    <w:next w:val="Normal"/>
    <w:link w:val="Ttulo1Car"/>
    <w:uiPriority w:val="9"/>
    <w:qFormat/>
    <w:rsid w:val="00FC0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C0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02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C02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C02E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C02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C02E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C02E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C02E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02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C02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02E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02E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C02E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C02E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C02E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C02E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C02E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C0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02EB"/>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FC02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02E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C02EB"/>
    <w:pPr>
      <w:spacing w:before="160"/>
      <w:jc w:val="center"/>
    </w:pPr>
    <w:rPr>
      <w:i/>
      <w:iCs/>
      <w:color w:val="404040" w:themeColor="text1" w:themeTint="BF"/>
    </w:rPr>
  </w:style>
  <w:style w:type="character" w:customStyle="1" w:styleId="CitaCar">
    <w:name w:val="Cita Car"/>
    <w:basedOn w:val="Fuentedeprrafopredeter"/>
    <w:link w:val="Cita"/>
    <w:uiPriority w:val="29"/>
    <w:rsid w:val="00FC02EB"/>
    <w:rPr>
      <w:i/>
      <w:iCs/>
      <w:color w:val="404040" w:themeColor="text1" w:themeTint="BF"/>
    </w:rPr>
  </w:style>
  <w:style w:type="paragraph" w:styleId="Prrafodelista">
    <w:name w:val="List Paragraph"/>
    <w:aliases w:val="Colorful List - Accent 11,Ha,List Paragraph1,lp1,List Paragraph2,List1,titulo 3,Párrafo de lista1,Bullets,Párrafo de lista2,Lista vistosa - Énfasis 11,Cuadrícula clara - Énfasis 31,Dot pt,F5 List Paragraph,No Spacing1,párrafos sentencia"/>
    <w:basedOn w:val="Normal"/>
    <w:link w:val="PrrafodelistaCar"/>
    <w:uiPriority w:val="34"/>
    <w:qFormat/>
    <w:rsid w:val="00FC02EB"/>
    <w:pPr>
      <w:ind w:left="720"/>
      <w:contextualSpacing/>
    </w:pPr>
  </w:style>
  <w:style w:type="character" w:styleId="nfasisintenso">
    <w:name w:val="Intense Emphasis"/>
    <w:basedOn w:val="Fuentedeprrafopredeter"/>
    <w:uiPriority w:val="21"/>
    <w:qFormat/>
    <w:rsid w:val="00FC02EB"/>
    <w:rPr>
      <w:i/>
      <w:iCs/>
      <w:color w:val="0F4761" w:themeColor="accent1" w:themeShade="BF"/>
    </w:rPr>
  </w:style>
  <w:style w:type="paragraph" w:styleId="Citadestacada">
    <w:name w:val="Intense Quote"/>
    <w:basedOn w:val="Normal"/>
    <w:next w:val="Normal"/>
    <w:link w:val="CitadestacadaCar"/>
    <w:uiPriority w:val="30"/>
    <w:qFormat/>
    <w:rsid w:val="00FC0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02EB"/>
    <w:rPr>
      <w:i/>
      <w:iCs/>
      <w:color w:val="0F4761" w:themeColor="accent1" w:themeShade="BF"/>
    </w:rPr>
  </w:style>
  <w:style w:type="character" w:styleId="Referenciaintensa">
    <w:name w:val="Intense Reference"/>
    <w:basedOn w:val="Fuentedeprrafopredeter"/>
    <w:uiPriority w:val="32"/>
    <w:qFormat/>
    <w:rsid w:val="00FC02EB"/>
    <w:rPr>
      <w:b/>
      <w:bCs/>
      <w:smallCaps/>
      <w:color w:val="0F4761" w:themeColor="accent1" w:themeShade="BF"/>
      <w:spacing w:val="5"/>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texto de nota al p"/>
    <w:basedOn w:val="Normal"/>
    <w:link w:val="TextonotapieCar"/>
    <w:uiPriority w:val="99"/>
    <w:unhideWhenUsed/>
    <w:qFormat/>
    <w:rsid w:val="00FC02E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texto de nota al p Car"/>
    <w:basedOn w:val="Fuentedeprrafopredeter"/>
    <w:link w:val="Textonotapie"/>
    <w:uiPriority w:val="99"/>
    <w:qFormat/>
    <w:rsid w:val="00FC02EB"/>
    <w:rPr>
      <w:rFonts w:ascii="Calibri" w:eastAsia="Calibri" w:hAnsi="Calibri" w:cs="Calibri"/>
      <w:color w:val="auto"/>
      <w:sz w:val="20"/>
      <w:szCs w:val="20"/>
      <w:lang w:val="es-ES" w:eastAsia="es-CO"/>
    </w:rPr>
  </w:style>
  <w:style w:type="character" w:styleId="Refdenotaalpie">
    <w:name w:val="footnote reference"/>
    <w:aliases w:val="Texto de nota al pie,referencia nota al pie,Texto nota pie Car Car1,texto de nota al pie Car Car,Texto nota pie Car Car Car,Ref. de nota al pie 2,Footnotes refss,Appel note de bas de page,f,Footnote number,BVI fnr,4_G,16 Point,FC,F,R"/>
    <w:link w:val="Piedepagina"/>
    <w:uiPriority w:val="99"/>
    <w:unhideWhenUsed/>
    <w:qFormat/>
    <w:rsid w:val="00FC02EB"/>
    <w:rPr>
      <w:vertAlign w:val="superscript"/>
    </w:rPr>
  </w:style>
  <w:style w:type="paragraph" w:customStyle="1" w:styleId="Piedepagina">
    <w:name w:val="Pie de pagina"/>
    <w:aliases w:val="Ref. de nota al pie2"/>
    <w:basedOn w:val="Normal"/>
    <w:link w:val="Refdenotaalpie"/>
    <w:uiPriority w:val="99"/>
    <w:qFormat/>
    <w:rsid w:val="00FC02EB"/>
    <w:pPr>
      <w:spacing w:line="240" w:lineRule="exact"/>
    </w:pPr>
    <w:rPr>
      <w:rFonts w:ascii="Times New Roman" w:eastAsiaTheme="minorHAnsi" w:hAnsi="Times New Roman" w:cs="Times New Roman"/>
      <w:color w:val="000000" w:themeColor="text1"/>
      <w:sz w:val="24"/>
      <w:szCs w:val="24"/>
      <w:vertAlign w:val="superscript"/>
      <w:lang w:val="es-CO" w:eastAsia="en-US"/>
    </w:rPr>
  </w:style>
  <w:style w:type="paragraph" w:styleId="Encabezado">
    <w:name w:val="header"/>
    <w:basedOn w:val="Normal"/>
    <w:link w:val="EncabezadoCar"/>
    <w:uiPriority w:val="99"/>
    <w:unhideWhenUsed/>
    <w:rsid w:val="00FC02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02EB"/>
    <w:rPr>
      <w:rFonts w:ascii="Calibri" w:eastAsia="Calibri" w:hAnsi="Calibri" w:cs="Calibri"/>
      <w:color w:val="auto"/>
      <w:sz w:val="22"/>
      <w:szCs w:val="22"/>
      <w:lang w:val="es-ES" w:eastAsia="es-CO"/>
    </w:rPr>
  </w:style>
  <w:style w:type="character" w:customStyle="1" w:styleId="PrrafodelistaCar">
    <w:name w:val="Párrafo de lista Car"/>
    <w:aliases w:val="Colorful List - Accent 11 Car,Ha Car,List Paragraph1 Car,lp1 Car,List Paragraph2 Car,List1 Car,titulo 3 Car,Párrafo de lista1 Car,Bullets Car,Párrafo de lista2 Car,Lista vistosa - Énfasis 11 Car,Cuadrícula clara - Énfasis 31 Car"/>
    <w:link w:val="Prrafodelista"/>
    <w:uiPriority w:val="34"/>
    <w:qFormat/>
    <w:locked/>
    <w:rsid w:val="00FC02EB"/>
  </w:style>
  <w:style w:type="paragraph" w:styleId="Piedepgina">
    <w:name w:val="footer"/>
    <w:basedOn w:val="Normal"/>
    <w:link w:val="PiedepginaCar"/>
    <w:uiPriority w:val="99"/>
    <w:unhideWhenUsed/>
    <w:rsid w:val="00FC02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02EB"/>
    <w:rPr>
      <w:rFonts w:ascii="Calibri" w:eastAsia="Calibri" w:hAnsi="Calibri" w:cs="Calibri"/>
      <w:color w:val="auto"/>
      <w:sz w:val="22"/>
      <w:szCs w:val="22"/>
      <w:lang w:val="es-ES" w:eastAsia="es-CO"/>
    </w:rPr>
  </w:style>
  <w:style w:type="character" w:styleId="Hipervnculo">
    <w:name w:val="Hyperlink"/>
    <w:basedOn w:val="Fuentedeprrafopredeter"/>
    <w:uiPriority w:val="99"/>
    <w:unhideWhenUsed/>
    <w:rsid w:val="00FC02EB"/>
    <w:rPr>
      <w:color w:val="0000FF"/>
      <w:u w:val="single"/>
    </w:rPr>
  </w:style>
  <w:style w:type="character" w:customStyle="1" w:styleId="Mencinsinresolver1">
    <w:name w:val="Mención sin resolver1"/>
    <w:basedOn w:val="Fuentedeprrafopredeter"/>
    <w:uiPriority w:val="99"/>
    <w:semiHidden/>
    <w:unhideWhenUsed/>
    <w:rsid w:val="00FC02EB"/>
    <w:rPr>
      <w:color w:val="605E5C"/>
      <w:shd w:val="clear" w:color="auto" w:fill="E1DFDD"/>
    </w:rPr>
  </w:style>
  <w:style w:type="character" w:styleId="Hipervnculovisitado">
    <w:name w:val="FollowedHyperlink"/>
    <w:basedOn w:val="Fuentedeprrafopredeter"/>
    <w:uiPriority w:val="99"/>
    <w:semiHidden/>
    <w:unhideWhenUsed/>
    <w:rsid w:val="00DF53E8"/>
    <w:rPr>
      <w:color w:val="96607D" w:themeColor="followedHyperlink"/>
      <w:u w:val="single"/>
    </w:rPr>
  </w:style>
  <w:style w:type="paragraph" w:styleId="Revisin">
    <w:name w:val="Revision"/>
    <w:hidden/>
    <w:uiPriority w:val="99"/>
    <w:semiHidden/>
    <w:rsid w:val="00945BDC"/>
    <w:pPr>
      <w:spacing w:after="0" w:line="240" w:lineRule="auto"/>
    </w:pPr>
    <w:rPr>
      <w:rFonts w:ascii="Calibri" w:eastAsia="Calibri" w:hAnsi="Calibri" w:cs="Calibri"/>
      <w:color w:val="auto"/>
      <w:sz w:val="22"/>
      <w:szCs w:val="22"/>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4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rteconstitucional.gov.co/secretaria/archivo.php?id=96016" TargetMode="External"/><Relationship Id="rId2" Type="http://schemas.openxmlformats.org/officeDocument/2006/relationships/hyperlink" Target="https://www.corteconstitucional.gov.co/secretaria/archivo.php?id=86325" TargetMode="External"/><Relationship Id="rId1" Type="http://schemas.openxmlformats.org/officeDocument/2006/relationships/hyperlink" Target="https://www.corteconstitucional.gov.co/secretaria/archivo.php?id=84053" TargetMode="External"/><Relationship Id="rId5" Type="http://schemas.openxmlformats.org/officeDocument/2006/relationships/hyperlink" Target="https://www.corteconstitucional.gov.co/secretaria/archivo.php?id=97414" TargetMode="External"/><Relationship Id="rId4" Type="http://schemas.openxmlformats.org/officeDocument/2006/relationships/hyperlink" Target="https://www.corteconstitucional.gov.co/secretaria/archivo.php?id=9619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9E993-2FC9-4025-A3D5-2F2AED94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2784</Words>
  <Characters>15314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León Quiroga</dc:creator>
  <cp:keywords/>
  <dc:description/>
  <cp:lastModifiedBy>Paulino Jose Solano Camargo</cp:lastModifiedBy>
  <cp:revision>2</cp:revision>
  <dcterms:created xsi:type="dcterms:W3CDTF">2025-04-22T15:24:00Z</dcterms:created>
  <dcterms:modified xsi:type="dcterms:W3CDTF">2025-04-22T15:24:00Z</dcterms:modified>
</cp:coreProperties>
</file>